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2a9ceb8aec94f5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27394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KAMANJE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612.719,42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735.564,58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773.912,28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512.933,53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222.631,05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148.684,99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5.950,03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145.509,99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2445,5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339.061,98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221.412,50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206.611,98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55.708,56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obrascu PR-RAS za razdoblje od 1. siječnja do 31. prosinca iskazani su ukupni prihodi poslovanja u iznosu od 735.564,58 EUR, dok ukupni rashodi poslovanja iznose 512.933,53 EUR, što rezultira viškom prihoda poslovanja u iznosu od 222.631,05 EUR.</w:t>
      </w:r>
    </w:p>
    <w:p>
      <w:r>
        <w:t xml:space="preserve">Prihodi od prodaje nefinancijske imovine ostvareni su u iznosu od 3.175,00 EUR, dok rashodi za nabavu nefinancijske imovine iznose 148.684,99 EUR, slijedom čega je ostvaren manjak prihoda od nefinancijske imovine u iznosu od 145.509,99 EUR, što je posljedica ulaganja u dugotrajnu imovinu.</w:t>
      </w:r>
    </w:p>
    <w:p>
      <w:r>
        <w:t xml:space="preserve">Primici od financijske imovine i zaduživanja ostvareni su u iznosu od 200.000,00 EUR, dok izdaci za financijsku imovinu i otplate zajmova iznose 221.412,50 EUR, što rezultira manjkom od financijske imovine i zaduživanja u iznosu od 21.412,50 EUR.</w:t>
      </w:r>
    </w:p>
    <w:p>
      <w:r>
        <w:t xml:space="preserve">Ukupno gledano, uzimajući u obzir sve prihode, rashode, primitke i izdatke, ostvaren je višak prihoda i primitaka u iznosu od 55.708,56 EUR, koji će se prenijeti u sljedeće obračunsko razdoblje sukladno važećim propisima proračunskog računovodstva.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612.719,42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735.564,58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Prihodi poslovanja u 2025. godini ostvareni su u iznosu od 735.564,58 eura đto predstavlja 20% više prihoda u odnosu na prošlu godinu.</w:t>
      </w:r>
      <w:r>
        <w:br/>
      </w:r>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w:t>
            </w:r>
          </w:p>
        </w:tc>
      </w:tr>
    </w:tbl>
    <w:p>
      <w:pPr>
        <w:spacing w:before="0" w:after="0"/>
      </w:pPr>
    </w:p>
    <w:p>
      <w:r>
        <w:t xml:space="preserve">Povećanje prihoda od poreza na kapital rezultat je većeg broja kupoprodajnih transakcija nekretnina na području Općine Kamanje u odnosu na prethodno izvještajno razdoblje, što je dovelo do povećanja prihoda od poreza na promet nekretnina. Ova vrsta prihoda ovisi o tržišnim kretanjima i ne ostvaruje se ravnomjerno tijekom godina.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334,5</w:t>
            </w:r>
          </w:p>
        </w:tc>
      </w:tr>
    </w:tbl>
    <w:p>
      <w:pPr>
        <w:spacing w:before="0" w:after="0"/>
      </w:pPr>
    </w:p>
    <w:p>
      <w:r>
        <w:t xml:space="preserve">odnosi se na kapitalne pomoći od Karlovačke županije, Ministarstva regionalnog razvoja, Ministarstva demografije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1162,0</w:t>
            </w:r>
          </w:p>
        </w:tc>
      </w:tr>
    </w:tbl>
    <w:p>
      <w:pPr>
        <w:spacing w:before="0" w:after="0"/>
      </w:pPr>
    </w:p>
    <w:p>
      <w:r>
        <w:t xml:space="preserve">tijekom 2025. godine izdano je viđe rješenja za utvrđivanje komunalnog doprinosa u odnosu na 2024.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w:t>
            </w:r>
          </w:p>
        </w:tc>
      </w:tr>
    </w:tbl>
    <w:p>
      <w:pPr>
        <w:spacing w:before="0" w:after="0"/>
      </w:pPr>
    </w:p>
    <w:p>
      <w:r>
        <w:t xml:space="preserve">Općina Kamanje putem Vlastitog pogona pruža usluge košnje u ljetnim mjesecima na zahtjev stranke. U 2025. godini bilo je manje takvih zahtjeva te je ostvaren manji prihod</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3102,2</w:t>
            </w:r>
          </w:p>
        </w:tc>
      </w:tr>
    </w:tbl>
    <w:p>
      <w:pPr>
        <w:spacing w:before="0" w:after="0"/>
      </w:pPr>
    </w:p>
    <w:p>
      <w:r>
        <w:t xml:space="preserve">Putem Ministartva demografije Općini Kamanje odobrena su sredstva za nabavku didaktičkih materijala za potrebe Dječjeg vrtića Kamanje što je rezultiralo iskazom većih rashoda na tom kontu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458,4</w:t>
            </w:r>
          </w:p>
        </w:tc>
      </w:tr>
    </w:tbl>
    <w:p>
      <w:pPr>
        <w:spacing w:before="0" w:after="0"/>
      </w:pPr>
    </w:p>
    <w:p>
      <w:r>
        <w:t xml:space="preserve">naknade su povećane iz razloga održavanja izbora te isplate naknade povjerenstvima za provedbu izbora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prodaju radnog stroja - dizalice.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 je prihod od prodaje radnog stroja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68.641,25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 se odnosi na novu opremu na Dječjem igralištu u Kamanju te didaktičkom igralištu u Arheo parku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izradu Urbanističkog plana uređenja groblja u Kamanju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w:t>
            </w:r>
          </w:p>
        </w:tc>
      </w:tr>
    </w:tbl>
    <w:p>
      <w:pPr>
        <w:spacing w:before="0" w:after="0"/>
      </w:pPr>
    </w:p>
    <w:p>
      <w:r>
        <w:t xml:space="preserve">Odnosi se na odobrenje minusa na žiro računu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339.061,98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221.412,50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w:t>
            </w:r>
          </w:p>
        </w:tc>
      </w:tr>
    </w:tbl>
    <w:p>
      <w:pPr>
        <w:spacing w:before="0" w:after="0"/>
      </w:pPr>
    </w:p>
    <w:p>
      <w:r>
        <w:t xml:space="preserve">Odnosi se na zatvaranje kratkoročnog zaduženja odobrenog os strane Karlovačke banke dd te zatvaranje minusa po žiro računu</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43.779,24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147.929,04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337,9</w:t>
            </w:r>
          </w:p>
        </w:tc>
      </w:tr>
    </w:tbl>
    <w:p>
      <w:pPr>
        <w:spacing w:before="0" w:after="0"/>
      </w:pPr>
    </w:p>
    <w:p>
      <w:r>
        <w:t xml:space="preserve">U stanje na žiro računu iskazan je odobreni minus odobren od strane Privredne banke Zagreb dd.</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47.379,37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479,0</w:t>
            </w:r>
          </w:p>
        </w:tc>
      </w:tr>
    </w:tbl>
    <w:p>
      <w:pPr>
        <w:spacing w:before="0" w:after="0"/>
      </w:pPr>
    </w:p>
    <w:p>
      <w:r>
        <w:t xml:space="preserve">Potraživanja se najvežim dijelom (30.000,00 eura) odnose na odobrena sredstva Ministrstva regionalnog razvoja za opremanje dječjeg igrališta u Kamanju, a koja nisu isplaćena tijekom 2025.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w:t>
            </w:r>
          </w:p>
        </w:tc>
      </w:tr>
    </w:tbl>
    <w:p>
      <w:pPr>
        <w:spacing w:before="0" w:after="0"/>
      </w:pPr>
    </w:p>
    <w:p>
      <w:r>
        <w:t xml:space="preserve">Ova potraživanja odnose se na komunalnu naknadu, grobnu naknadu, rezervaciju grobnih mjesta.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56.376,57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617,3</w:t>
            </w:r>
          </w:p>
        </w:tc>
      </w:tr>
    </w:tbl>
    <w:p>
      <w:pPr>
        <w:spacing w:before="0" w:after="0"/>
      </w:pPr>
    </w:p>
    <w:p>
      <w:r>
        <w:t xml:space="preserve">Odnosi se na opremanje dječjih igrališta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 financijski i fiskalni poslovi, vanjski poslovi (šifre 0111 do 0113)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13.385,75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408,9</w:t>
            </w:r>
          </w:p>
        </w:tc>
      </w:tr>
    </w:tbl>
    <w:p>
      <w:pPr>
        <w:spacing w:before="0" w:after="0"/>
      </w:pPr>
    </w:p>
    <w:p>
      <w:r>
        <w:t xml:space="preserve">odnosi se na administrativne poslove Općinskog vijeća i Općinskog načelnika, te financiranje političkih stranaka, a znatno je manje ostvarenje jer je na toj poziciji prethodne godine evidentirani rashodi za održavanje izbora (izbori za manjine).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w:t>
            </w:r>
          </w:p>
        </w:tc>
      </w:tr>
    </w:tbl>
    <w:p>
      <w:pPr>
        <w:spacing w:before="0" w:after="0"/>
      </w:pPr>
    </w:p>
    <w:p>
      <w:r>
        <w:t xml:space="preserve">odnosi se na protupožarnu i civilnu zaštitu koja je temeljem zakonskih odredbi financirana iz Proračuna Općine Kamanje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Poljoprivreda, šumarstvo, ribarstvo i lov (šifre 0421 do 0423)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180,3</w:t>
            </w:r>
          </w:p>
        </w:tc>
      </w:tr>
    </w:tbl>
    <w:p>
      <w:pPr>
        <w:spacing w:before="0" w:after="0"/>
      </w:pPr>
    </w:p>
    <w:p>
      <w:r>
        <w:t xml:space="preserve">odnosi se na financiranje potreba u poljoprivredi odnosno dodjeli sredstava sukladno provedenim natječajima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obujmu imovine odnose se na isknjiženje dionica trgovačkog društva Misterion riviera d.o.o. nad kojim je proveden stečajni postupak te je društvo brisano iz sudskog registra. Slijedom navedenog, dionice više ne predstavljaju imovinu koja ima vrijednost ili pravni temelj postojanja, te su sukladno odredbama Pravilnika o proračunskom računovodstvu evidentirane kao smanjenje obujma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181.477,25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najvećim se dijelom odnose na povrat sredstava temeljem Odluke Agencija za plaćanja u poljoprivredi, ribarstvu i ruralnom razvoju donesene u okviru podmjere 7.2. „Ulaganja u izradu, poboljšanje ili proširenje svih vrsta male infrastrukture, uključujući ulaganja u obnovljive izvore energije i uštedu energije“, odnosno provedbe tipa operacije 7.2.2. „Ulaganja u građenje nerazvrstanih cesta“, kojom je utvrđena financijska korekcija i obveza povrata dijela dodijeljenih sredstava. Zbog nedostatnih proračunskih prihoda Općina Kamanje nije u mogućnosti vršiti redoviti povrat sredstava, te ukupno dospjeli dug na dan 31.12. iznosi 127.108,81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2a005c2ff2c440f" /></Relationships>
</file>