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802A77" w:rsidTr="00FE60FC">
        <w:trPr>
          <w:trHeight w:val="1015"/>
        </w:trPr>
        <w:tc>
          <w:tcPr>
            <w:tcW w:w="5982" w:type="dxa"/>
            <w:vAlign w:val="center"/>
            <w:hideMark/>
          </w:tcPr>
          <w:p w:rsidR="00FE60FC" w:rsidRPr="00606DCB" w:rsidRDefault="00FE60FC" w:rsidP="00FE60FC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bookmarkStart w:id="0" w:name="_GoBack"/>
            <w:bookmarkEnd w:id="0"/>
            <w:r w:rsidRPr="00606DC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55A6060" wp14:editId="455A6061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A77" w:rsidTr="00FE60FC">
        <w:trPr>
          <w:trHeight w:val="261"/>
        </w:trPr>
        <w:tc>
          <w:tcPr>
            <w:tcW w:w="5982" w:type="dxa"/>
            <w:vAlign w:val="center"/>
            <w:hideMark/>
          </w:tcPr>
          <w:p w:rsidR="00FE60FC" w:rsidRPr="007C67FC" w:rsidRDefault="00FE60FC" w:rsidP="00FE60FC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802A77" w:rsidTr="00FE60FC">
        <w:trPr>
          <w:trHeight w:val="261"/>
        </w:trPr>
        <w:tc>
          <w:tcPr>
            <w:tcW w:w="5982" w:type="dxa"/>
            <w:vAlign w:val="center"/>
            <w:hideMark/>
          </w:tcPr>
          <w:p w:rsidR="00FE60FC" w:rsidRPr="007C67FC" w:rsidRDefault="00FE60FC" w:rsidP="00FE60FC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802A77" w:rsidTr="00FE60FC">
        <w:trPr>
          <w:trHeight w:val="261"/>
        </w:trPr>
        <w:tc>
          <w:tcPr>
            <w:tcW w:w="5982" w:type="dxa"/>
            <w:vAlign w:val="center"/>
          </w:tcPr>
          <w:p w:rsidR="00FE60FC" w:rsidRPr="0056724A" w:rsidRDefault="00FE60FC" w:rsidP="00FE60FC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OrgJedMemoMUP1"/>
                  <w:enabled/>
                  <w:calcOnExit w:val="0"/>
                  <w:textInput/>
                </w:ffData>
              </w:fldChar>
            </w:r>
            <w:bookmarkStart w:id="1" w:name="OrgJedMemoMUP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UPRAVA ZA MATERIJALNO-FINANCIJSKE POSLOVE</w:t>
            </w:r>
          </w:p>
          <w:p w:rsidR="00802A77" w:rsidRDefault="00FE60FC" w:rsidP="00FE60FC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SEKTOR ZA FINANCIJE I PRORAČUN</w:t>
            </w:r>
          </w:p>
          <w:p w:rsidR="00802A77" w:rsidRDefault="00FE60FC" w:rsidP="00FE60FC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FE60FC" w:rsidRDefault="00FE60FC" w:rsidP="00FE60FC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2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3261071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2"/>
      <w:r>
        <w:rPr>
          <w:rFonts w:ascii="CarolinaBar-B39-25F2" w:hAnsi="CarolinaBar-B39-25F2"/>
          <w:sz w:val="32"/>
          <w:szCs w:val="32"/>
        </w:rPr>
        <w:t>*</w:t>
      </w:r>
    </w:p>
    <w:p w:rsidR="00FE60FC" w:rsidRDefault="00FE60FC" w:rsidP="00FE60FC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UPPERCASE"/>
            </w:textInput>
          </w:ffData>
        </w:fldChar>
      </w:r>
      <w:bookmarkStart w:id="3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05C68">
        <w:rPr>
          <w:rFonts w:ascii="Arial" w:hAnsi="Arial" w:cs="Arial"/>
          <w:b/>
          <w:sz w:val="24"/>
          <w:szCs w:val="24"/>
        </w:rPr>
      </w:r>
      <w:r w:rsidR="00805C6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FE60FC" w:rsidRDefault="00FE60FC" w:rsidP="00FE60F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UPPERCASE"/>
            </w:textInput>
          </w:ffData>
        </w:fldChar>
      </w:r>
      <w:bookmarkStart w:id="4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05C68">
        <w:rPr>
          <w:rFonts w:ascii="Arial" w:hAnsi="Arial" w:cs="Arial"/>
          <w:b/>
          <w:sz w:val="24"/>
          <w:szCs w:val="24"/>
        </w:rPr>
      </w:r>
      <w:r w:rsidR="00805C6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tbl>
      <w:tblPr>
        <w:tblW w:w="12124" w:type="dxa"/>
        <w:tblLook w:val="04A0" w:firstRow="1" w:lastRow="0" w:firstColumn="1" w:lastColumn="0" w:noHBand="0" w:noVBand="1"/>
      </w:tblPr>
      <w:tblGrid>
        <w:gridCol w:w="12124"/>
      </w:tblGrid>
      <w:tr w:rsidR="00802A77" w:rsidTr="000D68B5">
        <w:trPr>
          <w:trHeight w:val="2254"/>
        </w:trPr>
        <w:tc>
          <w:tcPr>
            <w:tcW w:w="12124" w:type="dxa"/>
            <w:shd w:val="clear" w:color="auto" w:fill="auto"/>
          </w:tcPr>
          <w:p w:rsidR="00FE60FC" w:rsidRDefault="00FE60FC" w:rsidP="00FE6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1908" w:type="dxa"/>
              <w:tblLook w:val="04A0" w:firstRow="1" w:lastRow="0" w:firstColumn="1" w:lastColumn="0" w:noHBand="0" w:noVBand="1"/>
            </w:tblPr>
            <w:tblGrid>
              <w:gridCol w:w="11908"/>
            </w:tblGrid>
            <w:tr w:rsidR="00FE60FC" w:rsidRPr="00683EE9" w:rsidTr="00FE60FC">
              <w:tc>
                <w:tcPr>
                  <w:tcW w:w="11908" w:type="dxa"/>
                  <w:shd w:val="clear" w:color="auto" w:fill="auto"/>
                </w:tcPr>
                <w:p w:rsidR="00FE60FC" w:rsidRPr="00683EE9" w:rsidRDefault="00FE60FC" w:rsidP="00FE60FC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RAZDJEL: 040 Ministarstvo unutarnjih poslova       Broj RKP-a 713</w:t>
                  </w:r>
                </w:p>
                <w:p w:rsidR="00FE60FC" w:rsidRPr="00683EE9" w:rsidRDefault="00FE60FC" w:rsidP="00FE60FC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GLAVA: 05 Ministarstvo unutarnjih poslova             MATIČNI BROJ  3281418</w:t>
                  </w:r>
                </w:p>
                <w:p w:rsidR="00FE60FC" w:rsidRPr="00683EE9" w:rsidRDefault="00FE60FC" w:rsidP="00FE60FC">
                  <w:pPr>
                    <w:spacing w:after="0" w:line="360" w:lineRule="auto"/>
                    <w:ind w:right="-642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ab/>
                  </w:r>
                  <w:r w:rsidRPr="00683EE9">
                    <w:rPr>
                      <w:rFonts w:ascii="Arial" w:hAnsi="Arial" w:cs="Arial"/>
                    </w:rPr>
                    <w:tab/>
                  </w:r>
                  <w:r w:rsidRPr="00683EE9">
                    <w:rPr>
                      <w:rFonts w:ascii="Arial" w:hAnsi="Arial" w:cs="Arial"/>
                    </w:rPr>
                    <w:tab/>
                  </w:r>
                  <w:r w:rsidRPr="00683EE9">
                    <w:rPr>
                      <w:rFonts w:ascii="Arial" w:hAnsi="Arial" w:cs="Arial"/>
                    </w:rPr>
                    <w:tab/>
                  </w:r>
                  <w:r w:rsidRPr="00683EE9">
                    <w:rPr>
                      <w:rFonts w:ascii="Arial" w:hAnsi="Arial" w:cs="Arial"/>
                    </w:rPr>
                    <w:tab/>
                  </w:r>
                  <w:r w:rsidRPr="00683EE9">
                    <w:rPr>
                      <w:rFonts w:ascii="Arial" w:hAnsi="Arial" w:cs="Arial"/>
                    </w:rPr>
                    <w:tab/>
                    <w:t xml:space="preserve">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83EE9">
                    <w:rPr>
                      <w:rFonts w:ascii="Arial" w:hAnsi="Arial" w:cs="Arial"/>
                    </w:rPr>
                    <w:t xml:space="preserve">OIB: 36162371878 </w:t>
                  </w:r>
                </w:p>
                <w:p w:rsidR="00FE60FC" w:rsidRPr="00683EE9" w:rsidRDefault="00FE60FC" w:rsidP="00FE60FC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                                                                               NAZIV:MINISTARSTVO UNUTARNJIH POSLOVA      </w:t>
                  </w:r>
                </w:p>
                <w:p w:rsidR="00FE60FC" w:rsidRPr="00683EE9" w:rsidRDefault="00FE60FC" w:rsidP="00FE60F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683EE9">
                    <w:rPr>
                      <w:rFonts w:ascii="Arial" w:hAnsi="Arial" w:cs="Arial"/>
                    </w:rPr>
                    <w:t>POŠTA I MJESTO: 10 000 ZAGREB</w:t>
                  </w:r>
                </w:p>
                <w:p w:rsidR="00FE60FC" w:rsidRPr="00683EE9" w:rsidRDefault="00FE60FC" w:rsidP="00FE60F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B064B8">
                    <w:rPr>
                      <w:rFonts w:ascii="Arial" w:hAnsi="Arial" w:cs="Arial"/>
                    </w:rPr>
                    <w:t xml:space="preserve">                          </w:t>
                  </w:r>
                  <w:r w:rsidR="008F11B6">
                    <w:rPr>
                      <w:rFonts w:ascii="Arial" w:hAnsi="Arial" w:cs="Arial"/>
                    </w:rPr>
                    <w:t xml:space="preserve">          </w:t>
                  </w:r>
                  <w:r w:rsidRPr="00683EE9">
                    <w:rPr>
                      <w:rFonts w:ascii="Arial" w:hAnsi="Arial" w:cs="Arial"/>
                    </w:rPr>
                    <w:t>ULICA I KUĆNI BR</w:t>
                  </w:r>
                  <w:r w:rsidR="008F11B6">
                    <w:rPr>
                      <w:rFonts w:ascii="Arial" w:hAnsi="Arial" w:cs="Arial"/>
                    </w:rPr>
                    <w:t>.</w:t>
                  </w:r>
                  <w:r w:rsidRPr="00683EE9">
                    <w:rPr>
                      <w:rFonts w:ascii="Arial" w:hAnsi="Arial" w:cs="Arial"/>
                    </w:rPr>
                    <w:t xml:space="preserve">: </w:t>
                  </w:r>
                  <w:r w:rsidR="008F11B6">
                    <w:rPr>
                      <w:rFonts w:ascii="Arial" w:hAnsi="Arial" w:cs="Arial"/>
                    </w:rPr>
                    <w:t xml:space="preserve">UL.GRADA </w:t>
                  </w:r>
                  <w:r w:rsidR="00B064B8">
                    <w:rPr>
                      <w:rFonts w:ascii="Arial" w:hAnsi="Arial" w:cs="Arial"/>
                    </w:rPr>
                    <w:t xml:space="preserve">VUKOVARA </w:t>
                  </w:r>
                  <w:r w:rsidRPr="00683EE9">
                    <w:rPr>
                      <w:rFonts w:ascii="Arial" w:hAnsi="Arial" w:cs="Arial"/>
                    </w:rPr>
                    <w:t>33</w:t>
                  </w:r>
                </w:p>
                <w:p w:rsidR="00FE60FC" w:rsidRPr="00683EE9" w:rsidRDefault="00FE60FC" w:rsidP="00FE60FC">
                  <w:pPr>
                    <w:tabs>
                      <w:tab w:val="left" w:pos="5070"/>
                      <w:tab w:val="center" w:pos="5987"/>
                    </w:tabs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</w:t>
                  </w:r>
                  <w:r w:rsidRPr="00683EE9">
                    <w:rPr>
                      <w:rFonts w:ascii="Arial" w:hAnsi="Arial" w:cs="Arial"/>
                    </w:rPr>
                    <w:t>RAZINA: 11</w:t>
                  </w:r>
                </w:p>
                <w:p w:rsidR="00FE60FC" w:rsidRPr="00683EE9" w:rsidRDefault="00FE60FC" w:rsidP="00FE60FC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683EE9">
                    <w:rPr>
                      <w:rFonts w:ascii="Arial" w:hAnsi="Arial" w:cs="Arial"/>
                    </w:rPr>
                    <w:t xml:space="preserve">  ŠIFRA DJELATNOSTI: 8424 Poslovi javnog reda i                                                </w:t>
                  </w:r>
                </w:p>
                <w:p w:rsidR="00FE60FC" w:rsidRPr="00683EE9" w:rsidRDefault="00FE60FC" w:rsidP="00FE60FC">
                  <w:pPr>
                    <w:tabs>
                      <w:tab w:val="left" w:pos="5000"/>
                      <w:tab w:val="left" w:pos="5190"/>
                      <w:tab w:val="center" w:pos="5987"/>
                    </w:tabs>
                    <w:spacing w:after="0" w:line="360" w:lineRule="auto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ab/>
                    <w:t>sigurnosti</w:t>
                  </w:r>
                </w:p>
                <w:p w:rsidR="00FE60FC" w:rsidRPr="00683EE9" w:rsidRDefault="00FE60FC" w:rsidP="00FE60FC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E60FC" w:rsidRPr="00683EE9" w:rsidTr="00FE60FC">
              <w:trPr>
                <w:trHeight w:val="2385"/>
              </w:trPr>
              <w:tc>
                <w:tcPr>
                  <w:tcW w:w="11908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:rsidR="00FE60FC" w:rsidRPr="00683EE9" w:rsidRDefault="00FE60FC" w:rsidP="00FE60FC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 xml:space="preserve">                                   BILJEŠKE UZ FINANCIJSKE IZVJEŠTAJE</w:t>
                  </w:r>
                </w:p>
                <w:p w:rsidR="00FE60FC" w:rsidRPr="00683EE9" w:rsidRDefault="00FE60FC" w:rsidP="00FE60FC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 xml:space="preserve">                     ZA RAZDOBLJE OD 1. SIJEČNJA DO 31. PROSINCA 202</w:t>
                  </w: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Pr="00683EE9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FE60FC" w:rsidRPr="00683EE9" w:rsidRDefault="00FE60FC" w:rsidP="000D68B5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ind w:left="314" w:hanging="357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Ostvareni prihodi i primici te indeksi ostvarenja u odnosu na isto razdoblje prethodne                                                             godine                                 </w:t>
                  </w:r>
                </w:p>
                <w:p w:rsidR="00FE60FC" w:rsidRPr="00683EE9" w:rsidRDefault="00954A2B" w:rsidP="00954A2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</w:t>
                  </w:r>
                  <w:r w:rsidR="00FE60FC" w:rsidRPr="00683EE9">
                    <w:rPr>
                      <w:rFonts w:ascii="Arial" w:hAnsi="Arial" w:cs="Arial"/>
                    </w:rPr>
                    <w:t>u kn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837"/>
                    <w:gridCol w:w="1784"/>
                    <w:gridCol w:w="1476"/>
                  </w:tblGrid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ab/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OPIS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IZNOS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INDEX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Prihodi iz nadležnog  proračuna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5.</w:t>
                        </w:r>
                        <w:r>
                          <w:rPr>
                            <w:rFonts w:ascii="Arial" w:hAnsi="Arial" w:cs="Arial"/>
                          </w:rPr>
                          <w:t>457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346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693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Prihodi od prodaje proizvoda i robe te pruženih usluga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17.824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341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Prihodi po posebnim propisima (Nacionalni program i dr.)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372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477</w:t>
                        </w:r>
                        <w:r w:rsidRPr="00683EE9">
                          <w:rPr>
                            <w:rFonts w:ascii="Arial" w:hAnsi="Arial" w:cs="Arial"/>
                          </w:rPr>
                          <w:t>.3</w:t>
                        </w: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954A2B" w:rsidP="006559A9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118,1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746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746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900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377"/>
                    </w:trPr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Donacije od pravnih i fizičkih osoba izvan općeg proračuna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850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738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373"/>
                    </w:trPr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Prihodi od imovine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39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807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803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77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547"/>
                    </w:trPr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Ukupno ostvareni prihodi: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6.641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053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802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547"/>
                    </w:trPr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Ukupni primici od financijske imovine i zaduživanja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568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547"/>
                    </w:trPr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SVEUKUPNO OSTVARENI PRIHODI I PRIMICI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6.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641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055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370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FE60FC" w:rsidRPr="00683EE9" w:rsidRDefault="00FE60FC" w:rsidP="00FE60FC">
                  <w:pPr>
                    <w:rPr>
                      <w:rFonts w:ascii="Arial" w:hAnsi="Arial" w:cs="Arial"/>
                    </w:rPr>
                  </w:pPr>
                </w:p>
                <w:p w:rsidR="00FE60FC" w:rsidRPr="00683EE9" w:rsidRDefault="00FE60FC" w:rsidP="00FE60FC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2. Ostvareni rashodi i izdaci te indeksi ostvarenja u odnosu na isto razdoblje prethodne  </w:t>
                  </w:r>
                </w:p>
                <w:p w:rsidR="00FE60FC" w:rsidRPr="00683EE9" w:rsidRDefault="00FE60FC" w:rsidP="00FE60FC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    godine                                                                            </w:t>
                  </w:r>
                  <w:r w:rsidR="00F21B17">
                    <w:rPr>
                      <w:rFonts w:ascii="Arial" w:hAnsi="Arial" w:cs="Arial"/>
                    </w:rPr>
                    <w:t xml:space="preserve">                        </w:t>
                  </w:r>
                  <w:r w:rsidRPr="00683EE9">
                    <w:rPr>
                      <w:rFonts w:ascii="Arial" w:hAnsi="Arial" w:cs="Arial"/>
                    </w:rPr>
                    <w:t xml:space="preserve">  u kn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837"/>
                    <w:gridCol w:w="1985"/>
                    <w:gridCol w:w="1275"/>
                  </w:tblGrid>
                  <w:tr w:rsidR="00FE60FC" w:rsidRPr="00683EE9" w:rsidTr="00FE60FC">
                    <w:trPr>
                      <w:trHeight w:val="293"/>
                    </w:trPr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827D92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078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906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.8</w:t>
                        </w:r>
                        <w:r>
                          <w:rPr>
                            <w:rFonts w:ascii="Arial" w:hAnsi="Arial" w:cs="Arial"/>
                          </w:rPr>
                          <w:t>92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106,</w:t>
                        </w:r>
                        <w:r w:rsidR="00827D92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Materijalni rashodi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1.</w:t>
                        </w:r>
                        <w:r w:rsidR="00827D92">
                          <w:rPr>
                            <w:rFonts w:ascii="Arial" w:hAnsi="Arial" w:cs="Arial"/>
                          </w:rPr>
                          <w:t>926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827D92">
                          <w:rPr>
                            <w:rFonts w:ascii="Arial" w:hAnsi="Arial" w:cs="Arial"/>
                          </w:rPr>
                          <w:t>505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827D92">
                          <w:rPr>
                            <w:rFonts w:ascii="Arial" w:hAnsi="Arial" w:cs="Arial"/>
                          </w:rPr>
                          <w:t>752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11</w:t>
                        </w:r>
                        <w:r w:rsidR="00827D92">
                          <w:rPr>
                            <w:rFonts w:ascii="Arial" w:hAnsi="Arial" w:cs="Arial"/>
                          </w:rPr>
                          <w:t>3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827D92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Financijski rashodi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7</w:t>
                        </w:r>
                        <w:r w:rsidR="00827D92">
                          <w:rPr>
                            <w:rFonts w:ascii="Arial" w:hAnsi="Arial" w:cs="Arial"/>
                          </w:rPr>
                          <w:t>57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827D92">
                          <w:rPr>
                            <w:rFonts w:ascii="Arial" w:hAnsi="Arial" w:cs="Arial"/>
                          </w:rPr>
                          <w:t>588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827D92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96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Subvencije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827D92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669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58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827D92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57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Pomoći dane u inozemstvu i unutar općeg proračuna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827D92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.8</w:t>
                        </w:r>
                        <w:r>
                          <w:rPr>
                            <w:rFonts w:ascii="Arial" w:hAnsi="Arial" w:cs="Arial"/>
                          </w:rPr>
                          <w:t>42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39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827D92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61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Naknade građanima i kućanstvima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17.</w:t>
                        </w:r>
                        <w:r w:rsidR="00827D92">
                          <w:rPr>
                            <w:rFonts w:ascii="Arial" w:hAnsi="Arial" w:cs="Arial"/>
                          </w:rPr>
                          <w:t>794</w:t>
                        </w:r>
                        <w:r w:rsidRPr="00683EE9">
                          <w:rPr>
                            <w:rFonts w:ascii="Arial" w:hAnsi="Arial" w:cs="Arial"/>
                          </w:rPr>
                          <w:t>.4</w:t>
                        </w:r>
                        <w:r w:rsidR="00827D92">
                          <w:rPr>
                            <w:rFonts w:ascii="Arial" w:hAnsi="Arial" w:cs="Arial"/>
                          </w:rPr>
                          <w:t>64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104,1%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Ostali rashodi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4</w:t>
                        </w:r>
                        <w:r w:rsidR="00827D92">
                          <w:rPr>
                            <w:rFonts w:ascii="Arial" w:hAnsi="Arial" w:cs="Arial"/>
                          </w:rPr>
                          <w:t>5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827D92">
                          <w:rPr>
                            <w:rFonts w:ascii="Arial" w:hAnsi="Arial" w:cs="Arial"/>
                          </w:rPr>
                          <w:t>123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827D92">
                          <w:rPr>
                            <w:rFonts w:ascii="Arial" w:hAnsi="Arial" w:cs="Arial"/>
                          </w:rPr>
                          <w:t>436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827D92" w:rsidP="00827D92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90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405"/>
                    </w:trPr>
                    <w:tc>
                      <w:tcPr>
                        <w:tcW w:w="583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Ukupno rashodi poslovanja: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3F6186" w:rsidP="003F6186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078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600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112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3F6186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  <w:r w:rsidR="003F6186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 w:rsidR="003F6186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FE60FC" w:rsidRPr="00683EE9" w:rsidRDefault="00FE60FC" w:rsidP="00FE60FC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u kn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778"/>
                    <w:gridCol w:w="1981"/>
                    <w:gridCol w:w="1338"/>
                  </w:tblGrid>
                  <w:tr w:rsidR="00FE60FC" w:rsidRPr="00683EE9" w:rsidTr="00FE60FC"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Nematerijalna imovina (licence)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655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887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70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,5%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33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8.</w:t>
                        </w:r>
                        <w:r>
                          <w:rPr>
                            <w:rFonts w:ascii="Arial" w:hAnsi="Arial" w:cs="Arial"/>
                          </w:rPr>
                          <w:t>407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477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lastRenderedPageBreak/>
                          <w:t>Postrojenja i oprema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174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589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962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,7%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Prijevozna sredstva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274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.3</w:t>
                        </w:r>
                        <w:r>
                          <w:rPr>
                            <w:rFonts w:ascii="Arial" w:hAnsi="Arial" w:cs="Arial"/>
                          </w:rPr>
                          <w:t>46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7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350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,2%</w:t>
                        </w:r>
                      </w:p>
                    </w:tc>
                  </w:tr>
                  <w:tr w:rsidR="00FE60FC" w:rsidRPr="00683EE9" w:rsidTr="00FE60FC">
                    <w:trPr>
                      <w:trHeight w:val="346"/>
                    </w:trPr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Višegodišnji nasadi i osnovno stado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264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75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,9%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Nematerijalna proizvedena imovina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560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607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113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9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Rashodi za dodatna ulaganja na građevinskim objektima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296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>598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334"/>
                    </w:trPr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Ukupno rashodi za nabavu nefinancijske imovine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DD52C7" w:rsidP="00DD52C7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532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013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216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FE60FC" w:rsidRPr="00683EE9" w:rsidRDefault="00FE60FC" w:rsidP="00DD52C7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DD52C7">
                          <w:rPr>
                            <w:rFonts w:ascii="Arial" w:hAnsi="Arial" w:cs="Arial"/>
                            <w:b/>
                          </w:rPr>
                          <w:t>43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 w:rsidR="00DD52C7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339"/>
                    </w:trPr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Ukupno izdaci za financijsku imovinu (otplata zajmova)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8E635F" w:rsidP="008E635F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478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969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8E635F" w:rsidP="008E635F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6,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="00FE60FC"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  <w:tr w:rsidR="00FE60FC" w:rsidRPr="00683EE9" w:rsidTr="00FE60FC">
                    <w:trPr>
                      <w:trHeight w:val="348"/>
                    </w:trPr>
                    <w:tc>
                      <w:tcPr>
                        <w:tcW w:w="577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SVEUKUPNO OSTVARENI RASHODI I IZDACI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0456C1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6.</w:t>
                        </w:r>
                        <w:r w:rsidR="000456C1">
                          <w:rPr>
                            <w:rFonts w:ascii="Arial" w:hAnsi="Arial" w:cs="Arial"/>
                            <w:b/>
                          </w:rPr>
                          <w:t>612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="000456C1">
                          <w:rPr>
                            <w:rFonts w:ascii="Arial" w:hAnsi="Arial" w:cs="Arial"/>
                            <w:b/>
                          </w:rPr>
                          <w:t>092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.2</w:t>
                        </w:r>
                        <w:r w:rsidR="000456C1">
                          <w:rPr>
                            <w:rFonts w:ascii="Arial" w:hAnsi="Arial" w:cs="Arial"/>
                            <w:b/>
                          </w:rPr>
                          <w:t>97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0456C1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  <w:r w:rsidRPr="00683EE9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  <w:r w:rsidR="000456C1"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 w:rsidR="000456C1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  <w:r w:rsidRPr="00683EE9">
                          <w:rPr>
                            <w:rFonts w:ascii="Arial" w:hAnsi="Arial" w:cs="Arial"/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FE60FC" w:rsidRPr="00683EE9" w:rsidRDefault="00FE60FC" w:rsidP="00FE60FC">
                  <w:pPr>
                    <w:rPr>
                      <w:rFonts w:ascii="Arial" w:hAnsi="Arial" w:cs="Arial"/>
                    </w:rPr>
                  </w:pPr>
                </w:p>
                <w:p w:rsidR="00FE60FC" w:rsidRPr="00683EE9" w:rsidRDefault="00FE60FC" w:rsidP="00FE60F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683EE9">
                    <w:rPr>
                      <w:rFonts w:ascii="Arial" w:hAnsi="Arial" w:cs="Arial"/>
                      <w:b/>
                      <w:u w:val="single"/>
                    </w:rPr>
                    <w:t>POKAZATELJI REZULTATA POSLOVANJA NA DAN 31.12.202</w:t>
                  </w:r>
                  <w:r w:rsidR="003865A6">
                    <w:rPr>
                      <w:rFonts w:ascii="Arial" w:hAnsi="Arial" w:cs="Arial"/>
                      <w:b/>
                      <w:u w:val="single"/>
                    </w:rPr>
                    <w:t>1</w:t>
                  </w:r>
                  <w:r w:rsidRPr="00683EE9">
                    <w:rPr>
                      <w:rFonts w:ascii="Arial" w:hAnsi="Arial" w:cs="Arial"/>
                      <w:b/>
                      <w:u w:val="single"/>
                    </w:rPr>
                    <w:t xml:space="preserve">. GOD.               </w:t>
                  </w:r>
                </w:p>
                <w:p w:rsidR="00FE60FC" w:rsidRPr="00683EE9" w:rsidRDefault="00FE60FC" w:rsidP="00FE60FC">
                  <w:pPr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      </w:t>
                  </w:r>
                  <w:r w:rsidR="00F21B1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</w:t>
                  </w:r>
                  <w:r w:rsidRPr="00683EE9">
                    <w:rPr>
                      <w:rFonts w:ascii="Arial" w:hAnsi="Arial" w:cs="Arial"/>
                    </w:rPr>
                    <w:t>u kn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26"/>
                    <w:gridCol w:w="6203"/>
                    <w:gridCol w:w="2468"/>
                  </w:tblGrid>
                  <w:tr w:rsidR="00FE60FC" w:rsidRPr="00683EE9" w:rsidTr="00FE60FC">
                    <w:trPr>
                      <w:trHeight w:val="469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1.</w:t>
                        </w:r>
                      </w:p>
                    </w:tc>
                    <w:tc>
                      <w:tcPr>
                        <w:tcW w:w="6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232DE8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Manjak iz prethodnih godina na dan 01.01.202</w:t>
                        </w:r>
                        <w:r w:rsidR="00232DE8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.god.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FE60FC" w:rsidP="00232DE8">
                        <w:pPr>
                          <w:tabs>
                            <w:tab w:val="left" w:pos="300"/>
                            <w:tab w:val="right" w:pos="2336"/>
                          </w:tabs>
                          <w:jc w:val="right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-</w:t>
                        </w:r>
                        <w:r w:rsidR="00232DE8">
                          <w:rPr>
                            <w:rFonts w:ascii="Arial" w:hAnsi="Arial" w:cs="Arial"/>
                          </w:rPr>
                          <w:t>11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232DE8">
                          <w:rPr>
                            <w:rFonts w:ascii="Arial" w:hAnsi="Arial" w:cs="Arial"/>
                          </w:rPr>
                          <w:t>165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232DE8">
                          <w:rPr>
                            <w:rFonts w:ascii="Arial" w:hAnsi="Arial" w:cs="Arial"/>
                          </w:rPr>
                          <w:t>565</w:t>
                        </w:r>
                      </w:p>
                    </w:tc>
                  </w:tr>
                  <w:tr w:rsidR="00FE60FC" w:rsidRPr="00683EE9" w:rsidTr="00FE60FC">
                    <w:trPr>
                      <w:trHeight w:val="87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2.</w:t>
                        </w:r>
                      </w:p>
                    </w:tc>
                    <w:tc>
                      <w:tcPr>
                        <w:tcW w:w="6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Korekcija rezultata prethodne godine                           (povećanje gubitka)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E47ED3" w:rsidP="00E47ED3">
                        <w:pPr>
                          <w:tabs>
                            <w:tab w:val="left" w:pos="300"/>
                            <w:tab w:val="right" w:pos="2336"/>
                          </w:tabs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="00373A0C">
                          <w:rPr>
                            <w:rFonts w:ascii="Arial" w:hAnsi="Arial" w:cs="Arial"/>
                          </w:rPr>
                          <w:t>170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9F6605">
                          <w:rPr>
                            <w:rFonts w:ascii="Arial" w:hAnsi="Arial" w:cs="Arial"/>
                          </w:rPr>
                          <w:t>015</w:t>
                        </w:r>
                      </w:p>
                    </w:tc>
                  </w:tr>
                  <w:tr w:rsidR="00FE60FC" w:rsidRPr="00683EE9" w:rsidTr="00FE60FC">
                    <w:trPr>
                      <w:trHeight w:val="54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3.</w:t>
                        </w:r>
                      </w:p>
                    </w:tc>
                    <w:tc>
                      <w:tcPr>
                        <w:tcW w:w="6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232DE8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Višak prihoda i primitaka u razdoblju I-XII 202</w:t>
                        </w:r>
                        <w:r w:rsidR="00232DE8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.god.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E47ED3" w:rsidP="00E47ED3">
                        <w:pPr>
                          <w:tabs>
                            <w:tab w:val="left" w:pos="300"/>
                            <w:tab w:val="right" w:pos="2336"/>
                          </w:tabs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28.963.073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42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4.</w:t>
                        </w:r>
                      </w:p>
                    </w:tc>
                    <w:tc>
                      <w:tcPr>
                        <w:tcW w:w="6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E423CA" w:rsidP="00E423C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Višak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 xml:space="preserve"> prihoda i primitaka za pokriće u sljedećem razdoblju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E60FC" w:rsidRPr="00683EE9" w:rsidRDefault="009F6605" w:rsidP="00FE60FC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17.627.493</w:t>
                        </w:r>
                      </w:p>
                    </w:tc>
                  </w:tr>
                </w:tbl>
                <w:p w:rsidR="00FE60FC" w:rsidRPr="00683EE9" w:rsidRDefault="00FE60FC" w:rsidP="00FE60FC">
                  <w:pPr>
                    <w:spacing w:line="360" w:lineRule="auto"/>
                    <w:ind w:right="2868"/>
                    <w:jc w:val="both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U razdoblju </w:t>
                  </w:r>
                  <w:r w:rsidR="000D68B5">
                    <w:rPr>
                      <w:rFonts w:ascii="Arial" w:hAnsi="Arial" w:cs="Arial"/>
                    </w:rPr>
                    <w:t xml:space="preserve">od </w:t>
                  </w:r>
                  <w:r w:rsidRPr="00683EE9">
                    <w:rPr>
                      <w:rFonts w:ascii="Arial" w:hAnsi="Arial" w:cs="Arial"/>
                    </w:rPr>
                    <w:t>1.1.- 31.12.202</w:t>
                  </w:r>
                  <w:r w:rsidR="00E423CA">
                    <w:rPr>
                      <w:rFonts w:ascii="Arial" w:hAnsi="Arial" w:cs="Arial"/>
                    </w:rPr>
                    <w:t>1</w:t>
                  </w:r>
                  <w:r w:rsidRPr="00683EE9">
                    <w:rPr>
                      <w:rFonts w:ascii="Arial" w:hAnsi="Arial" w:cs="Arial"/>
                    </w:rPr>
                    <w:t>.</w:t>
                  </w:r>
                  <w:r w:rsidR="000D68B5">
                    <w:rPr>
                      <w:rFonts w:ascii="Arial" w:hAnsi="Arial" w:cs="Arial"/>
                    </w:rPr>
                    <w:t xml:space="preserve"> </w:t>
                  </w:r>
                  <w:r w:rsidRPr="00683EE9">
                    <w:rPr>
                      <w:rFonts w:ascii="Arial" w:hAnsi="Arial" w:cs="Arial"/>
                    </w:rPr>
                    <w:t xml:space="preserve">godine ostvaren je višak prihoda i primitaka u iznosu od </w:t>
                  </w:r>
                  <w:r w:rsidR="00E423CA">
                    <w:rPr>
                      <w:rFonts w:ascii="Arial" w:hAnsi="Arial" w:cs="Arial"/>
                    </w:rPr>
                    <w:t>28</w:t>
                  </w:r>
                  <w:r w:rsidRPr="00683EE9">
                    <w:rPr>
                      <w:rFonts w:ascii="Arial" w:hAnsi="Arial" w:cs="Arial"/>
                    </w:rPr>
                    <w:t>.9</w:t>
                  </w:r>
                  <w:r w:rsidR="00E423CA">
                    <w:rPr>
                      <w:rFonts w:ascii="Arial" w:hAnsi="Arial" w:cs="Arial"/>
                    </w:rPr>
                    <w:t>63</w:t>
                  </w:r>
                  <w:r w:rsidRPr="00683EE9">
                    <w:rPr>
                      <w:rFonts w:ascii="Arial" w:hAnsi="Arial" w:cs="Arial"/>
                    </w:rPr>
                    <w:t>.</w:t>
                  </w:r>
                  <w:r w:rsidR="00E423CA">
                    <w:rPr>
                      <w:rFonts w:ascii="Arial" w:hAnsi="Arial" w:cs="Arial"/>
                    </w:rPr>
                    <w:t>073,41</w:t>
                  </w:r>
                  <w:r w:rsidRPr="00683EE9">
                    <w:rPr>
                      <w:rFonts w:ascii="Arial" w:hAnsi="Arial" w:cs="Arial"/>
                    </w:rPr>
                    <w:t xml:space="preserve"> kn koji s manjkom iz prethodne godine (-</w:t>
                  </w:r>
                  <w:r w:rsidR="00E423CA">
                    <w:rPr>
                      <w:rFonts w:ascii="Arial" w:hAnsi="Arial" w:cs="Arial"/>
                    </w:rPr>
                    <w:t>11</w:t>
                  </w:r>
                  <w:r w:rsidRPr="00683EE9">
                    <w:rPr>
                      <w:rFonts w:ascii="Arial" w:hAnsi="Arial" w:cs="Arial"/>
                    </w:rPr>
                    <w:t>.</w:t>
                  </w:r>
                  <w:r w:rsidR="00E423CA">
                    <w:rPr>
                      <w:rFonts w:ascii="Arial" w:hAnsi="Arial" w:cs="Arial"/>
                    </w:rPr>
                    <w:t>165</w:t>
                  </w:r>
                  <w:r w:rsidRPr="00683EE9">
                    <w:rPr>
                      <w:rFonts w:ascii="Arial" w:hAnsi="Arial" w:cs="Arial"/>
                    </w:rPr>
                    <w:t>.</w:t>
                  </w:r>
                  <w:r w:rsidR="00E423CA">
                    <w:rPr>
                      <w:rFonts w:ascii="Arial" w:hAnsi="Arial" w:cs="Arial"/>
                    </w:rPr>
                    <w:t>564</w:t>
                  </w:r>
                  <w:r w:rsidRPr="00683EE9">
                    <w:rPr>
                      <w:rFonts w:ascii="Arial" w:hAnsi="Arial" w:cs="Arial"/>
                    </w:rPr>
                    <w:t>,</w:t>
                  </w:r>
                  <w:r w:rsidR="00E423CA">
                    <w:rPr>
                      <w:rFonts w:ascii="Arial" w:hAnsi="Arial" w:cs="Arial"/>
                    </w:rPr>
                    <w:t>71</w:t>
                  </w:r>
                  <w:r w:rsidRPr="00683EE9">
                    <w:rPr>
                      <w:rFonts w:ascii="Arial" w:hAnsi="Arial" w:cs="Arial"/>
                    </w:rPr>
                    <w:t xml:space="preserve"> kn) i korekcijom rezultata (povećanje gubitka u iznosu od 17</w:t>
                  </w:r>
                  <w:r w:rsidR="00E423CA">
                    <w:rPr>
                      <w:rFonts w:ascii="Arial" w:hAnsi="Arial" w:cs="Arial"/>
                    </w:rPr>
                    <w:t>0</w:t>
                  </w:r>
                  <w:r w:rsidRPr="00683EE9">
                    <w:rPr>
                      <w:rFonts w:ascii="Arial" w:hAnsi="Arial" w:cs="Arial"/>
                    </w:rPr>
                    <w:t>.</w:t>
                  </w:r>
                  <w:r w:rsidR="00E423CA">
                    <w:rPr>
                      <w:rFonts w:ascii="Arial" w:hAnsi="Arial" w:cs="Arial"/>
                    </w:rPr>
                    <w:t>015</w:t>
                  </w:r>
                  <w:r w:rsidRPr="00683EE9">
                    <w:rPr>
                      <w:rFonts w:ascii="Arial" w:hAnsi="Arial" w:cs="Arial"/>
                    </w:rPr>
                    <w:t>,</w:t>
                  </w:r>
                  <w:r w:rsidR="00E423CA">
                    <w:rPr>
                      <w:rFonts w:ascii="Arial" w:hAnsi="Arial" w:cs="Arial"/>
                    </w:rPr>
                    <w:t>84</w:t>
                  </w:r>
                  <w:r w:rsidRPr="00683EE9">
                    <w:rPr>
                      <w:rFonts w:ascii="Arial" w:hAnsi="Arial" w:cs="Arial"/>
                    </w:rPr>
                    <w:t xml:space="preserve"> kn) uvjetuje </w:t>
                  </w:r>
                  <w:r w:rsidR="00E423CA">
                    <w:rPr>
                      <w:rFonts w:ascii="Arial" w:hAnsi="Arial" w:cs="Arial"/>
                    </w:rPr>
                    <w:t>viša</w:t>
                  </w:r>
                  <w:r w:rsidRPr="00683EE9">
                    <w:rPr>
                      <w:rFonts w:ascii="Arial" w:hAnsi="Arial" w:cs="Arial"/>
                    </w:rPr>
                    <w:t>k prihoda i primitaka za pokriće u idućem razdoblju, u iznosu od 1</w:t>
                  </w:r>
                  <w:r w:rsidR="00E423CA">
                    <w:rPr>
                      <w:rFonts w:ascii="Arial" w:hAnsi="Arial" w:cs="Arial"/>
                    </w:rPr>
                    <w:t>7</w:t>
                  </w:r>
                  <w:r w:rsidRPr="00683EE9">
                    <w:rPr>
                      <w:rFonts w:ascii="Arial" w:hAnsi="Arial" w:cs="Arial"/>
                    </w:rPr>
                    <w:t>.</w:t>
                  </w:r>
                  <w:r w:rsidR="00E423CA">
                    <w:rPr>
                      <w:rFonts w:ascii="Arial" w:hAnsi="Arial" w:cs="Arial"/>
                    </w:rPr>
                    <w:t>627</w:t>
                  </w:r>
                  <w:r w:rsidRPr="00683EE9">
                    <w:rPr>
                      <w:rFonts w:ascii="Arial" w:hAnsi="Arial" w:cs="Arial"/>
                    </w:rPr>
                    <w:t>.</w:t>
                  </w:r>
                  <w:r w:rsidR="00E423CA">
                    <w:rPr>
                      <w:rFonts w:ascii="Arial" w:hAnsi="Arial" w:cs="Arial"/>
                    </w:rPr>
                    <w:t>492</w:t>
                  </w:r>
                  <w:r w:rsidRPr="00683EE9">
                    <w:rPr>
                      <w:rFonts w:ascii="Arial" w:hAnsi="Arial" w:cs="Arial"/>
                    </w:rPr>
                    <w:t>,</w:t>
                  </w:r>
                  <w:r w:rsidR="00E423CA">
                    <w:rPr>
                      <w:rFonts w:ascii="Arial" w:hAnsi="Arial" w:cs="Arial"/>
                    </w:rPr>
                    <w:t>86</w:t>
                  </w:r>
                  <w:r w:rsidRPr="00683EE9">
                    <w:rPr>
                      <w:rFonts w:ascii="Arial" w:hAnsi="Arial" w:cs="Arial"/>
                    </w:rPr>
                    <w:t xml:space="preserve"> kn.</w:t>
                  </w:r>
                </w:p>
                <w:p w:rsidR="00FE60FC" w:rsidRPr="006A7E06" w:rsidRDefault="00FE60FC" w:rsidP="007331E2">
                  <w:pPr>
                    <w:spacing w:line="360" w:lineRule="auto"/>
                    <w:ind w:right="2868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815BF9">
                    <w:rPr>
                      <w:rFonts w:ascii="Arial" w:hAnsi="Arial" w:cs="Arial"/>
                    </w:rPr>
                    <w:t>Sukladno Pravilniku o proračunskom računovodstvu i Računskom planu izvršena je preraspodjela rezultata iz 20</w:t>
                  </w:r>
                  <w:r w:rsidR="00815BF9">
                    <w:rPr>
                      <w:rFonts w:ascii="Arial" w:hAnsi="Arial" w:cs="Arial"/>
                    </w:rPr>
                    <w:t>20</w:t>
                  </w:r>
                  <w:r w:rsidRPr="00815BF9">
                    <w:rPr>
                      <w:rFonts w:ascii="Arial" w:hAnsi="Arial" w:cs="Arial"/>
                    </w:rPr>
                    <w:t>. god.</w:t>
                  </w:r>
                  <w:r w:rsidRPr="006A7E0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BE5ADE">
                    <w:rPr>
                      <w:rFonts w:ascii="Arial" w:hAnsi="Arial" w:cs="Arial"/>
                    </w:rPr>
                    <w:t>unutar tri aktivnosti tj. za redovno poslovanje, nefinancijsku i financijsku imovinu.</w:t>
                  </w:r>
                  <w:r w:rsidRPr="006A7E0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A771AE">
                    <w:rPr>
                      <w:rFonts w:ascii="Arial" w:hAnsi="Arial" w:cs="Arial"/>
                    </w:rPr>
                    <w:t xml:space="preserve">Izvršenom preraspodjelom ostvaren je višak prihoda od nefinancijske imovine u iznosu od: </w:t>
                  </w:r>
                  <w:r w:rsidR="00A771AE">
                    <w:rPr>
                      <w:rFonts w:ascii="Arial" w:hAnsi="Arial" w:cs="Arial"/>
                    </w:rPr>
                    <w:t>86</w:t>
                  </w:r>
                  <w:r w:rsidRPr="00A771AE">
                    <w:rPr>
                      <w:rFonts w:ascii="Arial" w:hAnsi="Arial" w:cs="Arial"/>
                    </w:rPr>
                    <w:t>.</w:t>
                  </w:r>
                  <w:r w:rsidR="00A771AE">
                    <w:rPr>
                      <w:rFonts w:ascii="Arial" w:hAnsi="Arial" w:cs="Arial"/>
                    </w:rPr>
                    <w:t>851</w:t>
                  </w:r>
                  <w:r w:rsidRPr="00A771AE">
                    <w:rPr>
                      <w:rFonts w:ascii="Arial" w:hAnsi="Arial" w:cs="Arial"/>
                    </w:rPr>
                    <w:t>.</w:t>
                  </w:r>
                  <w:r w:rsidR="00A771AE">
                    <w:rPr>
                      <w:rFonts w:ascii="Arial" w:hAnsi="Arial" w:cs="Arial"/>
                    </w:rPr>
                    <w:t>392</w:t>
                  </w:r>
                  <w:r w:rsidRPr="00A771AE">
                    <w:rPr>
                      <w:rFonts w:ascii="Arial" w:hAnsi="Arial" w:cs="Arial"/>
                    </w:rPr>
                    <w:t>,</w:t>
                  </w:r>
                  <w:r w:rsidR="00A771AE">
                    <w:rPr>
                      <w:rFonts w:ascii="Arial" w:hAnsi="Arial" w:cs="Arial"/>
                    </w:rPr>
                    <w:t>91</w:t>
                  </w:r>
                  <w:r w:rsidR="007331E2">
                    <w:rPr>
                      <w:rFonts w:ascii="Arial" w:hAnsi="Arial" w:cs="Arial"/>
                    </w:rPr>
                    <w:t xml:space="preserve"> kn, a </w:t>
                  </w:r>
                  <w:r w:rsidRPr="007331E2">
                    <w:rPr>
                      <w:rFonts w:ascii="Arial" w:hAnsi="Arial" w:cs="Arial"/>
                    </w:rPr>
                    <w:t>unutar aktivnosti redovnog poslovanja ostvare</w:t>
                  </w:r>
                  <w:r w:rsidR="007331E2">
                    <w:rPr>
                      <w:rFonts w:ascii="Arial" w:hAnsi="Arial" w:cs="Arial"/>
                    </w:rPr>
                    <w:t>n</w:t>
                  </w:r>
                  <w:r w:rsidRPr="007331E2">
                    <w:rPr>
                      <w:rFonts w:ascii="Arial" w:hAnsi="Arial" w:cs="Arial"/>
                    </w:rPr>
                    <w:t xml:space="preserve"> je </w:t>
                  </w:r>
                  <w:r w:rsidRPr="006D6ECF">
                    <w:rPr>
                      <w:rFonts w:ascii="Arial" w:hAnsi="Arial" w:cs="Arial"/>
                    </w:rPr>
                    <w:t xml:space="preserve">manjak u iznosu od </w:t>
                  </w:r>
                  <w:r w:rsidR="007331E2" w:rsidRPr="00AD43AC">
                    <w:rPr>
                      <w:rFonts w:ascii="Arial" w:hAnsi="Arial" w:cs="Arial"/>
                    </w:rPr>
                    <w:t>98.186.973,46 kn.</w:t>
                  </w:r>
                </w:p>
                <w:p w:rsidR="004E0E06" w:rsidRDefault="00FE60FC" w:rsidP="00FE60FC">
                  <w:pPr>
                    <w:spacing w:line="360" w:lineRule="auto"/>
                    <w:ind w:right="2868"/>
                    <w:jc w:val="both"/>
                    <w:rPr>
                      <w:rFonts w:ascii="Arial" w:hAnsi="Arial" w:cs="Arial"/>
                    </w:rPr>
                  </w:pPr>
                  <w:r w:rsidRPr="0065386B">
                    <w:rPr>
                      <w:rFonts w:ascii="Arial" w:hAnsi="Arial" w:cs="Arial"/>
                    </w:rPr>
                    <w:t xml:space="preserve">Korekcija rezultata, odnosno povećanje gubitka u iznosu od </w:t>
                  </w:r>
                  <w:r w:rsidR="0065386B">
                    <w:rPr>
                      <w:rFonts w:ascii="Arial" w:hAnsi="Arial" w:cs="Arial"/>
                    </w:rPr>
                    <w:t>170.015,84</w:t>
                  </w:r>
                  <w:r w:rsidRPr="006A7E0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65386B">
                    <w:rPr>
                      <w:rFonts w:ascii="Arial" w:hAnsi="Arial" w:cs="Arial"/>
                    </w:rPr>
                    <w:t>kn izvršena je s osnova</w:t>
                  </w:r>
                  <w:r w:rsidR="004E0E06">
                    <w:rPr>
                      <w:rFonts w:ascii="Arial" w:hAnsi="Arial" w:cs="Arial"/>
                    </w:rPr>
                    <w:t>:</w:t>
                  </w:r>
                </w:p>
                <w:p w:rsidR="00FE60FC" w:rsidRPr="00C67C8F" w:rsidRDefault="004E0E06" w:rsidP="00FE60FC">
                  <w:pPr>
                    <w:numPr>
                      <w:ilvl w:val="0"/>
                      <w:numId w:val="4"/>
                    </w:num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FE60FC" w:rsidRPr="00C67C8F">
                    <w:rPr>
                      <w:rFonts w:ascii="Arial" w:hAnsi="Arial" w:cs="Arial"/>
                    </w:rPr>
                    <w:t>ovrat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="00FE60FC" w:rsidRPr="00C67C8F">
                    <w:rPr>
                      <w:rFonts w:ascii="Arial" w:hAnsi="Arial" w:cs="Arial"/>
                    </w:rPr>
                    <w:t xml:space="preserve"> naplaćenog jamstva za otklanjanje nedostataka u jamstvenom roku (tvrtci HM Patria d.o.o.) u iznosu od </w:t>
                  </w:r>
                  <w:r w:rsidR="00C67C8F">
                    <w:rPr>
                      <w:rFonts w:ascii="Arial" w:hAnsi="Arial" w:cs="Arial"/>
                    </w:rPr>
                    <w:t>109</w:t>
                  </w:r>
                  <w:r w:rsidR="00AD43AC">
                    <w:rPr>
                      <w:rFonts w:ascii="Arial" w:hAnsi="Arial" w:cs="Arial"/>
                    </w:rPr>
                    <w:t>.</w:t>
                  </w:r>
                  <w:r w:rsidR="00C67C8F">
                    <w:rPr>
                      <w:rFonts w:ascii="Arial" w:hAnsi="Arial" w:cs="Arial"/>
                    </w:rPr>
                    <w:t>2</w:t>
                  </w:r>
                  <w:r w:rsidR="00EB58C5">
                    <w:rPr>
                      <w:rFonts w:ascii="Arial" w:hAnsi="Arial" w:cs="Arial"/>
                    </w:rPr>
                    <w:t>52,88</w:t>
                  </w:r>
                  <w:r w:rsidR="00FE60FC" w:rsidRPr="00C67C8F">
                    <w:rPr>
                      <w:rFonts w:ascii="Arial" w:hAnsi="Arial" w:cs="Arial"/>
                    </w:rPr>
                    <w:t xml:space="preserve"> kn.</w:t>
                  </w:r>
                </w:p>
                <w:p w:rsidR="00FE60FC" w:rsidRDefault="004E0E06" w:rsidP="00FE60FC">
                  <w:pPr>
                    <w:numPr>
                      <w:ilvl w:val="0"/>
                      <w:numId w:val="4"/>
                    </w:num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FE60FC" w:rsidRPr="00C67C8F">
                    <w:rPr>
                      <w:rFonts w:ascii="Arial" w:hAnsi="Arial" w:cs="Arial"/>
                    </w:rPr>
                    <w:t>ovrat neutrošenih sredstava Gradu Zagrebu za nerealizirane projekte iz Programa Informativnog centra za prevenciju (2019.god.), u iznosu od cca 4</w:t>
                  </w:r>
                  <w:r w:rsidR="00C67C8F">
                    <w:rPr>
                      <w:rFonts w:ascii="Arial" w:hAnsi="Arial" w:cs="Arial"/>
                    </w:rPr>
                    <w:t>2</w:t>
                  </w:r>
                  <w:r w:rsidR="00AD43AC">
                    <w:rPr>
                      <w:rFonts w:ascii="Arial" w:hAnsi="Arial" w:cs="Arial"/>
                    </w:rPr>
                    <w:t>.</w:t>
                  </w:r>
                  <w:r w:rsidR="00C67C8F">
                    <w:rPr>
                      <w:rFonts w:ascii="Arial" w:hAnsi="Arial" w:cs="Arial"/>
                    </w:rPr>
                    <w:t>4</w:t>
                  </w:r>
                  <w:r w:rsidR="00EB58C5">
                    <w:rPr>
                      <w:rFonts w:ascii="Arial" w:hAnsi="Arial" w:cs="Arial"/>
                    </w:rPr>
                    <w:t>60,25</w:t>
                  </w:r>
                  <w:r w:rsidR="00FE60FC" w:rsidRPr="00C67C8F">
                    <w:rPr>
                      <w:rFonts w:ascii="Arial" w:hAnsi="Arial" w:cs="Arial"/>
                    </w:rPr>
                    <w:t xml:space="preserve"> kn.</w:t>
                  </w:r>
                </w:p>
                <w:p w:rsidR="004E0E06" w:rsidRDefault="007331E2" w:rsidP="00FE60FC">
                  <w:pPr>
                    <w:numPr>
                      <w:ilvl w:val="0"/>
                      <w:numId w:val="4"/>
                    </w:num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povrat sredstava </w:t>
                  </w:r>
                  <w:r w:rsidR="006D6ECF">
                    <w:rPr>
                      <w:rFonts w:ascii="Arial" w:hAnsi="Arial" w:cs="Arial"/>
                    </w:rPr>
                    <w:t>zbog duplo plaćenog računa iz prethodne godine u iznosu 998,0</w:t>
                  </w:r>
                  <w:r w:rsidR="00EB58C5">
                    <w:rPr>
                      <w:rFonts w:ascii="Arial" w:hAnsi="Arial" w:cs="Arial"/>
                    </w:rPr>
                    <w:t>0</w:t>
                  </w:r>
                  <w:r w:rsidR="006D6ECF">
                    <w:rPr>
                      <w:rFonts w:ascii="Arial" w:hAnsi="Arial" w:cs="Arial"/>
                    </w:rPr>
                    <w:t xml:space="preserve"> kn</w:t>
                  </w:r>
                </w:p>
                <w:p w:rsidR="00EB58C5" w:rsidRDefault="00EB58C5" w:rsidP="00FE60FC">
                  <w:pPr>
                    <w:numPr>
                      <w:ilvl w:val="0"/>
                      <w:numId w:val="4"/>
                    </w:num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otpisa nevažećih novčanica u valuti CHF po Odluci u iznosu 18.396,76 kn </w:t>
                  </w:r>
                </w:p>
                <w:p w:rsidR="006D6ECF" w:rsidRDefault="006D6ECF" w:rsidP="006D6ECF">
                  <w:p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a smanjenje gubitka izvršen je s osnova:</w:t>
                  </w:r>
                </w:p>
                <w:p w:rsidR="006D6ECF" w:rsidRDefault="00EB58C5" w:rsidP="006D6ECF">
                  <w:pPr>
                    <w:numPr>
                      <w:ilvl w:val="0"/>
                      <w:numId w:val="4"/>
                    </w:num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više uknjiženja potraživanja za naplaćeni PDV u odnosu na stvarno stanje u iznosu od 1.091,50 kn</w:t>
                  </w:r>
                </w:p>
                <w:p w:rsidR="00EB58C5" w:rsidRDefault="00EB58C5" w:rsidP="00EB58C5">
                  <w:pPr>
                    <w:numPr>
                      <w:ilvl w:val="0"/>
                      <w:numId w:val="4"/>
                    </w:num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preknjiženja uplate (MFIN) s krivim pozivom na broj u iznosu od 195,55 kn</w:t>
                  </w:r>
                  <w:r w:rsidR="002C6214">
                    <w:rPr>
                      <w:rFonts w:ascii="Arial" w:hAnsi="Arial" w:cs="Arial"/>
                    </w:rPr>
                    <w:t>.</w:t>
                  </w:r>
                </w:p>
                <w:p w:rsidR="006D6ECF" w:rsidRPr="00EB58C5" w:rsidRDefault="006D6ECF" w:rsidP="004754B3">
                  <w:pPr>
                    <w:spacing w:line="360" w:lineRule="auto"/>
                    <w:ind w:left="720" w:right="2868"/>
                    <w:rPr>
                      <w:rFonts w:ascii="Arial" w:hAnsi="Arial" w:cs="Arial"/>
                    </w:rPr>
                  </w:pPr>
                </w:p>
                <w:p w:rsidR="006D6ECF" w:rsidRPr="00C67C8F" w:rsidRDefault="006D6ECF" w:rsidP="006D6ECF">
                  <w:pPr>
                    <w:spacing w:line="360" w:lineRule="auto"/>
                    <w:ind w:right="2868"/>
                    <w:rPr>
                      <w:rFonts w:ascii="Arial" w:hAnsi="Arial" w:cs="Arial"/>
                    </w:rPr>
                  </w:pPr>
                </w:p>
                <w:p w:rsidR="00FE60FC" w:rsidRPr="00683EE9" w:rsidRDefault="00FE60FC" w:rsidP="00FE60FC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E60FC" w:rsidRDefault="00FE60FC" w:rsidP="00FE60FC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E60FC" w:rsidRDefault="00FE60FC" w:rsidP="00FE60FC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E60FC" w:rsidRDefault="00FE60FC" w:rsidP="00FE60FC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EB58C5" w:rsidRDefault="00EB58C5" w:rsidP="00FE60FC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E60FC" w:rsidRPr="00683EE9" w:rsidRDefault="00FE60FC" w:rsidP="00FE60FC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Pr="00683EE9">
                    <w:rPr>
                      <w:rFonts w:ascii="Arial" w:hAnsi="Arial" w:cs="Arial"/>
                      <w:b/>
                    </w:rPr>
                    <w:t>BILJEŠKE UZ PR-RAS</w:t>
                  </w:r>
                </w:p>
                <w:p w:rsidR="00FE60FC" w:rsidRPr="00683EE9" w:rsidRDefault="00FE60FC" w:rsidP="00FE60FC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9770" w:type="dxa"/>
                    <w:tblLook w:val="0000" w:firstRow="0" w:lastRow="0" w:firstColumn="0" w:lastColumn="0" w:noHBand="0" w:noVBand="0"/>
                  </w:tblPr>
                  <w:tblGrid>
                    <w:gridCol w:w="1016"/>
                    <w:gridCol w:w="8754"/>
                  </w:tblGrid>
                  <w:tr w:rsidR="00FE60FC" w:rsidRPr="00683EE9" w:rsidTr="00FE60FC">
                    <w:trPr>
                      <w:trHeight w:val="113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D7C13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FD7C13">
                          <w:rPr>
                            <w:rFonts w:ascii="Arial" w:hAnsi="Arial" w:cs="Arial"/>
                          </w:rPr>
                          <w:t xml:space="preserve">AOP 046      </w:t>
                        </w:r>
                      </w:p>
                      <w:p w:rsidR="00FE60FC" w:rsidRPr="00FD7C13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FD7C13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FD7C13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FD7C13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FD7C13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4F4350" w:rsidRDefault="00FE60FC" w:rsidP="005E7F4B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D7C13">
                          <w:rPr>
                            <w:rFonts w:ascii="Arial" w:hAnsi="Arial" w:cs="Arial"/>
                          </w:rPr>
                          <w:t>Pom</w:t>
                        </w:r>
                        <w:r w:rsidR="004F4350">
                          <w:rPr>
                            <w:rFonts w:ascii="Arial" w:hAnsi="Arial" w:cs="Arial"/>
                          </w:rPr>
                          <w:t>oći od inozemnih vlada (cca 5</w:t>
                        </w:r>
                        <w:r w:rsidRPr="00FD7C13">
                          <w:rPr>
                            <w:rFonts w:ascii="Arial" w:hAnsi="Arial" w:cs="Arial"/>
                          </w:rPr>
                          <w:t>0,</w:t>
                        </w:r>
                        <w:r w:rsidR="004F4350">
                          <w:rPr>
                            <w:rFonts w:ascii="Arial" w:hAnsi="Arial" w:cs="Arial"/>
                          </w:rPr>
                          <w:t>0</w:t>
                        </w:r>
                        <w:r w:rsidRPr="00FD7C13">
                          <w:rPr>
                            <w:rFonts w:ascii="Arial" w:hAnsi="Arial" w:cs="Arial"/>
                          </w:rPr>
                          <w:t xml:space="preserve"> mil.kn) </w:t>
                        </w:r>
                        <w:r w:rsidR="004F4350">
                          <w:rPr>
                            <w:rFonts w:ascii="Arial" w:hAnsi="Arial" w:cs="Arial"/>
                          </w:rPr>
                          <w:t xml:space="preserve">manje su za 38,1% </w:t>
                        </w:r>
                        <w:r w:rsidRPr="004F4350">
                          <w:rPr>
                            <w:rFonts w:ascii="Arial" w:hAnsi="Arial" w:cs="Arial"/>
                          </w:rPr>
                          <w:t>u odnosu na prethodnu godinu, a odnose se na pomoći u naravi za opće korisne svrhe protuepidemijske mjere (Covid 19) i mjere otklanjanja nepogoda izazvanih potresima.</w:t>
                        </w:r>
                      </w:p>
                      <w:p w:rsidR="00FE60FC" w:rsidRPr="004F4350" w:rsidRDefault="00FE60FC" w:rsidP="005E7F4B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F4350">
                          <w:rPr>
                            <w:rFonts w:ascii="Arial" w:hAnsi="Arial" w:cs="Arial"/>
                          </w:rPr>
                          <w:t>Pomoći su ostvarene od:</w:t>
                        </w:r>
                      </w:p>
                      <w:p w:rsidR="00FE60FC" w:rsidRPr="004F4350" w:rsidRDefault="00FE60FC" w:rsidP="00FE60FC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contextualSpacing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F4350">
                          <w:rPr>
                            <w:rFonts w:ascii="Arial" w:hAnsi="Arial" w:cs="Arial"/>
                          </w:rPr>
                          <w:t xml:space="preserve">Tekuće pomoći INO vlada u EU, u  iznosu od cca  </w:t>
                        </w:r>
                        <w:r w:rsidR="004F4350">
                          <w:rPr>
                            <w:rFonts w:ascii="Arial" w:hAnsi="Arial" w:cs="Arial"/>
                          </w:rPr>
                          <w:t>8</w:t>
                        </w:r>
                        <w:r w:rsidRPr="004F4350">
                          <w:rPr>
                            <w:rFonts w:ascii="Arial" w:hAnsi="Arial" w:cs="Arial"/>
                          </w:rPr>
                          <w:t>,</w:t>
                        </w:r>
                        <w:r w:rsidR="004F4350">
                          <w:rPr>
                            <w:rFonts w:ascii="Arial" w:hAnsi="Arial" w:cs="Arial"/>
                          </w:rPr>
                          <w:t>0</w:t>
                        </w:r>
                        <w:r w:rsidRPr="004F4350">
                          <w:rPr>
                            <w:rFonts w:ascii="Arial" w:hAnsi="Arial" w:cs="Arial"/>
                          </w:rPr>
                          <w:t xml:space="preserve"> mil.kn</w:t>
                        </w:r>
                      </w:p>
                      <w:p w:rsidR="00FE60FC" w:rsidRPr="004F4350" w:rsidRDefault="00FE60FC" w:rsidP="00FE60FC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contextualSpacing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F4350">
                          <w:rPr>
                            <w:rFonts w:ascii="Arial" w:hAnsi="Arial" w:cs="Arial"/>
                          </w:rPr>
                          <w:t>Tekuće pomoći INO vlada izvan EU, u  iznosu od  cca 1,</w:t>
                        </w:r>
                        <w:r w:rsidR="004F4350">
                          <w:rPr>
                            <w:rFonts w:ascii="Arial" w:hAnsi="Arial" w:cs="Arial"/>
                          </w:rPr>
                          <w:t>8</w:t>
                        </w:r>
                        <w:r w:rsidRPr="004F4350">
                          <w:rPr>
                            <w:rFonts w:ascii="Arial" w:hAnsi="Arial" w:cs="Arial"/>
                          </w:rPr>
                          <w:t xml:space="preserve"> mil.kn</w:t>
                        </w:r>
                      </w:p>
                      <w:p w:rsidR="00FE60FC" w:rsidRPr="004F4350" w:rsidRDefault="00FE60FC" w:rsidP="004F4350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contextualSpacing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4F4350">
                          <w:rPr>
                            <w:rFonts w:ascii="Arial" w:hAnsi="Arial" w:cs="Arial"/>
                          </w:rPr>
                          <w:t>Kapitalne pomoći Ino vlada u EU, u iznosu od cca 1</w:t>
                        </w:r>
                        <w:r w:rsidR="004F4350">
                          <w:rPr>
                            <w:rFonts w:ascii="Arial" w:hAnsi="Arial" w:cs="Arial"/>
                          </w:rPr>
                          <w:t>8</w:t>
                        </w:r>
                        <w:r w:rsidRPr="004F4350">
                          <w:rPr>
                            <w:rFonts w:ascii="Arial" w:hAnsi="Arial" w:cs="Arial"/>
                          </w:rPr>
                          <w:t>,3 mil.kn</w:t>
                        </w:r>
                      </w:p>
                      <w:p w:rsidR="004F4350" w:rsidRPr="00E31B9A" w:rsidRDefault="004F4350" w:rsidP="004F4350">
                        <w:pPr>
                          <w:numPr>
                            <w:ilvl w:val="0"/>
                            <w:numId w:val="6"/>
                          </w:numPr>
                          <w:spacing w:line="360" w:lineRule="auto"/>
                          <w:contextualSpacing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4F4350">
                          <w:rPr>
                            <w:rFonts w:ascii="Arial" w:hAnsi="Arial" w:cs="Arial"/>
                          </w:rPr>
                          <w:t>Kapitalne pomoći od ino vlada izvan EU u iznosu od 21,8 mil.kn</w:t>
                        </w:r>
                      </w:p>
                    </w:tc>
                  </w:tr>
                  <w:tr w:rsidR="00FE60FC" w:rsidRPr="00683EE9" w:rsidTr="00FE60FC">
                    <w:trPr>
                      <w:trHeight w:val="113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455161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455161">
                          <w:rPr>
                            <w:rFonts w:ascii="Arial" w:hAnsi="Arial" w:cs="Arial"/>
                          </w:rPr>
                          <w:t>AOP 049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120FDD" w:rsidRDefault="00FE60FC" w:rsidP="00FE60F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55161">
                          <w:rPr>
                            <w:rFonts w:ascii="Arial" w:hAnsi="Arial" w:cs="Arial"/>
                          </w:rPr>
                          <w:t>Pomoći od međunarodnih organizacija te institucija i tijela EU iskazuju povećanje u odnosu na  početno stanje za</w:t>
                        </w:r>
                        <w:r w:rsidR="00455161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="00455161">
                          <w:rPr>
                            <w:rFonts w:ascii="Arial" w:hAnsi="Arial" w:cs="Arial"/>
                          </w:rPr>
                          <w:t>45,1%.</w:t>
                        </w:r>
                        <w:r w:rsidRPr="00E31B9A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455161">
                          <w:rPr>
                            <w:rFonts w:ascii="Arial" w:hAnsi="Arial" w:cs="Arial"/>
                          </w:rPr>
                          <w:t>Od ukupno iskazanih pomoći  od cca</w:t>
                        </w:r>
                        <w:r w:rsidR="00455161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="00455161" w:rsidRPr="00455161">
                          <w:rPr>
                            <w:rFonts w:ascii="Arial" w:hAnsi="Arial" w:cs="Arial"/>
                          </w:rPr>
                          <w:t>674,5</w:t>
                        </w:r>
                        <w:r w:rsidRPr="00455161">
                          <w:rPr>
                            <w:rFonts w:ascii="Arial" w:hAnsi="Arial" w:cs="Arial"/>
                          </w:rPr>
                          <w:t xml:space="preserve"> mil.kn, </w:t>
                        </w:r>
                        <w:r w:rsidRPr="0052100E">
                          <w:rPr>
                            <w:rFonts w:ascii="Arial" w:hAnsi="Arial" w:cs="Arial"/>
                          </w:rPr>
                          <w:t xml:space="preserve">na pomoći u naravi odnosi se </w:t>
                        </w:r>
                        <w:r w:rsidR="0052100E">
                          <w:rPr>
                            <w:rFonts w:ascii="Arial" w:hAnsi="Arial" w:cs="Arial"/>
                          </w:rPr>
                          <w:t>12</w:t>
                        </w:r>
                        <w:r w:rsidRPr="0052100E">
                          <w:rPr>
                            <w:rFonts w:ascii="Arial" w:hAnsi="Arial" w:cs="Arial"/>
                          </w:rPr>
                          <w:t>,</w:t>
                        </w:r>
                        <w:r w:rsidR="0052100E">
                          <w:rPr>
                            <w:rFonts w:ascii="Arial" w:hAnsi="Arial" w:cs="Arial"/>
                          </w:rPr>
                          <w:t>6</w:t>
                        </w:r>
                        <w:r w:rsidRPr="0052100E">
                          <w:rPr>
                            <w:rFonts w:ascii="Arial" w:hAnsi="Arial" w:cs="Arial"/>
                          </w:rPr>
                          <w:t xml:space="preserve"> mil.kn koje su ostvarene od međunarodnih organizacija:</w:t>
                        </w:r>
                        <w:r w:rsidR="0052100E">
                          <w:rPr>
                            <w:rFonts w:ascii="Arial" w:hAnsi="Arial" w:cs="Arial"/>
                          </w:rPr>
                          <w:t xml:space="preserve"> Europska komisija,</w:t>
                        </w:r>
                        <w:r w:rsidRPr="0052100E">
                          <w:rPr>
                            <w:rFonts w:ascii="Arial" w:hAnsi="Arial" w:cs="Arial"/>
                          </w:rPr>
                          <w:t xml:space="preserve"> Unicef;</w:t>
                        </w:r>
                        <w:r w:rsidR="0052100E">
                          <w:rPr>
                            <w:rFonts w:ascii="Arial" w:hAnsi="Arial" w:cs="Arial"/>
                          </w:rPr>
                          <w:t xml:space="preserve"> International Medical Corps,</w:t>
                        </w:r>
                        <w:r w:rsidRPr="0052100E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52100E">
                          <w:rPr>
                            <w:rFonts w:ascii="Arial" w:hAnsi="Arial" w:cs="Arial"/>
                          </w:rPr>
                          <w:t>njemački Crveni križ</w:t>
                        </w:r>
                        <w:r w:rsidR="0052100E" w:rsidRPr="0052100E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52100E">
                          <w:rPr>
                            <w:rFonts w:ascii="Arial" w:hAnsi="Arial" w:cs="Arial"/>
                          </w:rPr>
                          <w:t>a namijenjene su civilnoj zaštiti za protuepidemijske mjere vezane za Covid 19</w:t>
                        </w:r>
                        <w:r w:rsidR="006F1EFB">
                          <w:rPr>
                            <w:rFonts w:ascii="Arial" w:hAnsi="Arial" w:cs="Arial"/>
                          </w:rPr>
                          <w:t xml:space="preserve"> i potres</w:t>
                        </w:r>
                        <w:r w:rsidRPr="0052100E"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Pr="00120FDD">
                          <w:rPr>
                            <w:rFonts w:ascii="Arial" w:hAnsi="Arial" w:cs="Arial"/>
                          </w:rPr>
                          <w:t xml:space="preserve">Ostvarene financijske pomoći u ukupnosti su veće </w:t>
                        </w:r>
                        <w:r w:rsidR="00120FDD">
                          <w:rPr>
                            <w:rFonts w:ascii="Arial" w:hAnsi="Arial" w:cs="Arial"/>
                          </w:rPr>
                          <w:t xml:space="preserve">za 46,4% </w:t>
                        </w:r>
                        <w:r w:rsidRPr="00120FDD">
                          <w:rPr>
                            <w:rFonts w:ascii="Arial" w:hAnsi="Arial" w:cs="Arial"/>
                          </w:rPr>
                          <w:t xml:space="preserve">u odnosu na početno stanje, dok </w:t>
                        </w:r>
                        <w:r w:rsidR="00120FDD" w:rsidRPr="00120FDD">
                          <w:rPr>
                            <w:rFonts w:ascii="Arial" w:hAnsi="Arial" w:cs="Arial"/>
                          </w:rPr>
                          <w:t>vrijednosti</w:t>
                        </w:r>
                        <w:r w:rsidRPr="00120FDD">
                          <w:rPr>
                            <w:rFonts w:ascii="Arial" w:hAnsi="Arial" w:cs="Arial"/>
                          </w:rPr>
                          <w:t xml:space="preserve"> po izvorima pokazuju </w:t>
                        </w:r>
                        <w:r w:rsidR="00120FDD" w:rsidRPr="00120FDD">
                          <w:rPr>
                            <w:rFonts w:ascii="Arial" w:hAnsi="Arial" w:cs="Arial"/>
                          </w:rPr>
                          <w:t>različita</w:t>
                        </w:r>
                        <w:r w:rsidRPr="00120FD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120FDD" w:rsidRPr="00120FDD">
                          <w:rPr>
                            <w:rFonts w:ascii="Arial" w:hAnsi="Arial" w:cs="Arial"/>
                          </w:rPr>
                          <w:t>odstupanja</w:t>
                        </w:r>
                        <w:r w:rsidRPr="00120FDD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E60FC" w:rsidRPr="000E367A" w:rsidRDefault="00FE60FC" w:rsidP="00FE60FC">
                        <w:pPr>
                          <w:spacing w:line="360" w:lineRule="auto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 w:rsidRPr="000E367A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FINANCIJSKE POMOĆI ISKAZANE PO IZVORIMA IZ PLANA I IZVRŠENJA PO AKTIVNOSTIMA</w:t>
                        </w:r>
                      </w:p>
                      <w:tbl>
                        <w:tblPr>
                          <w:tblW w:w="8412" w:type="dxa"/>
                          <w:tblLook w:val="04A0" w:firstRow="1" w:lastRow="0" w:firstColumn="1" w:lastColumn="0" w:noHBand="0" w:noVBand="1"/>
                        </w:tblPr>
                        <w:tblGrid>
                          <w:gridCol w:w="528"/>
                          <w:gridCol w:w="477"/>
                          <w:gridCol w:w="1440"/>
                          <w:gridCol w:w="1480"/>
                          <w:gridCol w:w="1440"/>
                          <w:gridCol w:w="1480"/>
                          <w:gridCol w:w="707"/>
                          <w:gridCol w:w="860"/>
                        </w:tblGrid>
                        <w:tr w:rsidR="000E367A" w:rsidRPr="00683EE9" w:rsidTr="00A524DD">
                          <w:trPr>
                            <w:trHeight w:val="525"/>
                          </w:trPr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RED. BR</w:t>
                              </w:r>
                            </w:p>
                          </w:tc>
                          <w:tc>
                            <w:tcPr>
                              <w:tcW w:w="4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IZV.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 I IZVR.20</w:t>
                              </w:r>
                              <w:r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20</w:t>
                              </w: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.G.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TEKUĆI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KAPITALNI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 I IZVR.202</w:t>
                              </w:r>
                              <w:r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1</w:t>
                              </w: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.G.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INDEKS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PROJEKT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405"/>
                          </w:trPr>
                          <w:tc>
                            <w:tcPr>
                              <w:tcW w:w="52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7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552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A45E23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1.171.240,50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96.426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0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0,00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96.426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0   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E0A54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>8,2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T672042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435"/>
                          </w:trPr>
                          <w:tc>
                            <w:tcPr>
                              <w:tcW w:w="52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7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562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B36146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FF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A45E23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179.761.634,89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1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07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776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662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,6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3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697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764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48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108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474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427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11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E0A54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E0A54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>60,3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T672040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7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563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B36146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FF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A45E23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50.615.062,40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457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.0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82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38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210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918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848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52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211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375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930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0   </w:t>
                              </w:r>
                            </w:p>
                          </w:tc>
                          <w:tc>
                            <w:tcPr>
                              <w:tcW w:w="70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E0A54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E0A54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>417,6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K260056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K553171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T672040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7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575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A45E23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205.117.411,21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1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812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715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54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136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791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679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50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2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96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604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395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04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70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E0A54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>144,6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K553167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K553168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K553169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K879003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879018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879011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T879006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T879009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7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A45E23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14.333.777,39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42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715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564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87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573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789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99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43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289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354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86</w:t>
                              </w: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707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E0A54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A553131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A553158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K553145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A553157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A553174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T863009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T879005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T879012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T879013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00"/>
                          </w:trPr>
                          <w:tc>
                            <w:tcPr>
                              <w:tcW w:w="528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80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707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T879014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60"/>
                          </w:trPr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7079E5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079E5"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0E367A" w:rsidRPr="00B36146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B36146"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45.424,99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45.424,99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T879021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60"/>
                          </w:trPr>
                          <w:tc>
                            <w:tcPr>
                              <w:tcW w:w="52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7079E5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7079E5"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7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0E367A" w:rsidRPr="00FF2558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FF2558">
                                <w:rPr>
                                  <w:rFonts w:eastAsia="Times New Roman" w:cs="Calibri"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498.745,85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498.745,85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T863016</w:t>
                              </w:r>
                            </w:p>
                          </w:tc>
                        </w:tr>
                        <w:tr w:rsidR="000E367A" w:rsidRPr="00683EE9" w:rsidTr="00A524DD">
                          <w:trPr>
                            <w:trHeight w:val="360"/>
                          </w:trPr>
                          <w:tc>
                            <w:tcPr>
                              <w:tcW w:w="100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UKUPNO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E0A54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FF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002240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450.999.126,39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E0A54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FF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002240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311.402.423,16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E0A54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FF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002240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348.982.082,49   </w:t>
                              </w:r>
                            </w:p>
                          </w:tc>
                          <w:tc>
                            <w:tcPr>
                              <w:tcW w:w="148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E0A54" w:rsidRDefault="000E367A" w:rsidP="000E367A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="Calibri"/>
                                  <w:color w:val="FF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002240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 xml:space="preserve">660.384.705,65   </w:t>
                              </w:r>
                            </w:p>
                          </w:tc>
                          <w:tc>
                            <w:tcPr>
                              <w:tcW w:w="70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E0A54" w:rsidRDefault="000E367A" w:rsidP="000E367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Calibri"/>
                                  <w:color w:val="FF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002240">
                                <w:rPr>
                                  <w:rFonts w:eastAsia="Times New Roman" w:cs="Calibri"/>
                                  <w:sz w:val="16"/>
                                  <w:szCs w:val="16"/>
                                  <w:lang w:eastAsia="hr-HR"/>
                                </w:rPr>
                                <w:t>146,4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E367A" w:rsidRPr="00683EE9" w:rsidRDefault="000E367A" w:rsidP="000E367A">
                              <w:pPr>
                                <w:spacing w:after="0" w:line="240" w:lineRule="auto"/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683EE9">
                                <w:rPr>
                                  <w:rFonts w:eastAsia="Times New Roman" w:cs="Calibri"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E60FC" w:rsidRPr="00E31B9A" w:rsidRDefault="00FE60FC" w:rsidP="005E7F4B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0E7A6B">
                          <w:rPr>
                            <w:rFonts w:ascii="Arial" w:hAnsi="Arial" w:cs="Arial"/>
                          </w:rPr>
                          <w:t>U poslovnim knjigama M</w:t>
                        </w:r>
                        <w:r w:rsidR="000E7A6B">
                          <w:rPr>
                            <w:rFonts w:ascii="Arial" w:hAnsi="Arial" w:cs="Arial"/>
                          </w:rPr>
                          <w:t>UP-a evidentirana</w:t>
                        </w:r>
                        <w:r w:rsidRPr="000E7A6B">
                          <w:rPr>
                            <w:rFonts w:ascii="Arial" w:hAnsi="Arial" w:cs="Arial"/>
                          </w:rPr>
                          <w:t xml:space="preserve"> je </w:t>
                        </w:r>
                        <w:r w:rsidR="000E7A6B">
                          <w:rPr>
                            <w:rFonts w:ascii="Arial" w:hAnsi="Arial" w:cs="Arial"/>
                          </w:rPr>
                          <w:t>uplata u iznosu od</w:t>
                        </w:r>
                        <w:r w:rsidRPr="00E31B9A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="000E7A6B">
                          <w:rPr>
                            <w:rFonts w:ascii="Arial" w:hAnsi="Arial" w:cs="Arial"/>
                          </w:rPr>
                          <w:t>853.830,20 kn</w:t>
                        </w:r>
                        <w:r w:rsidRPr="00E31B9A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0E7A6B">
                          <w:rPr>
                            <w:rFonts w:ascii="Arial" w:hAnsi="Arial" w:cs="Arial"/>
                          </w:rPr>
                          <w:t>od NATO-a.</w:t>
                        </w:r>
                      </w:p>
                    </w:tc>
                  </w:tr>
                  <w:tr w:rsidR="00FE60FC" w:rsidRPr="00683EE9" w:rsidTr="00FE60FC">
                    <w:trPr>
                      <w:trHeight w:val="113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E31B9A" w:rsidRDefault="00FE60FC" w:rsidP="00FE60FC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F34F32">
                          <w:rPr>
                            <w:rFonts w:ascii="Arial" w:hAnsi="Arial" w:cs="Arial"/>
                          </w:rPr>
                          <w:t>AOP 057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34F32" w:rsidRDefault="00F34F32" w:rsidP="00FE60FC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F34F32">
                          <w:rPr>
                            <w:rFonts w:ascii="Arial" w:hAnsi="Arial" w:cs="Arial"/>
                          </w:rPr>
                          <w:t>Pomoći od izvanproračunskih korisnika bilježe indeks 5,9 % u odnosu na prethodno razdoblje, odnosno u nominalnim iznosima cca 24,1 tis.kn, uplaćenih od Hrvatskog zavoda za zapošljavanje za ugovorne obveze stručnog osposobljavanja djelatnika.</w:t>
                        </w:r>
                      </w:p>
                    </w:tc>
                  </w:tr>
                  <w:tr w:rsidR="00FE60FC" w:rsidRPr="00683EE9" w:rsidTr="00FE60FC">
                    <w:trPr>
                      <w:trHeight w:val="113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E31B9A" w:rsidRDefault="00FE60FC" w:rsidP="00FE60FC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FD5CFC">
                          <w:rPr>
                            <w:rFonts w:ascii="Arial" w:hAnsi="Arial" w:cs="Arial"/>
                          </w:rPr>
                          <w:lastRenderedPageBreak/>
                          <w:t>AOP 063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D5CFC" w:rsidRDefault="00FE60FC" w:rsidP="00FE60F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D5CFC">
                          <w:rPr>
                            <w:rFonts w:ascii="Arial" w:hAnsi="Arial" w:cs="Arial"/>
                          </w:rPr>
                          <w:t>Pomoći proračunskim korisnicima, iz proračuna koji im nije nadležan manje su u odnosu na početno stanje za 5</w:t>
                        </w:r>
                        <w:r w:rsidR="00FD5CFC" w:rsidRPr="00FD5CFC">
                          <w:rPr>
                            <w:rFonts w:ascii="Arial" w:hAnsi="Arial" w:cs="Arial"/>
                          </w:rPr>
                          <w:t>1</w:t>
                        </w:r>
                        <w:r w:rsidRPr="00FD5CFC">
                          <w:rPr>
                            <w:rFonts w:ascii="Arial" w:hAnsi="Arial" w:cs="Arial"/>
                          </w:rPr>
                          <w:t>,</w:t>
                        </w:r>
                        <w:r w:rsidR="00FD5CFC" w:rsidRPr="00FD5CFC">
                          <w:rPr>
                            <w:rFonts w:ascii="Arial" w:hAnsi="Arial" w:cs="Arial"/>
                          </w:rPr>
                          <w:t>4</w:t>
                        </w:r>
                        <w:r w:rsidRPr="00FD5CFC">
                          <w:rPr>
                            <w:rFonts w:ascii="Arial" w:hAnsi="Arial" w:cs="Arial"/>
                          </w:rPr>
                          <w:t xml:space="preserve">%, a u ukupnosti sadrže financijsku (cca </w:t>
                        </w:r>
                        <w:r w:rsidR="00FD5CFC">
                          <w:rPr>
                            <w:rFonts w:ascii="Arial" w:hAnsi="Arial" w:cs="Arial"/>
                          </w:rPr>
                          <w:t>2</w:t>
                        </w:r>
                        <w:r w:rsidRPr="00FD5CFC">
                          <w:rPr>
                            <w:rFonts w:ascii="Arial" w:hAnsi="Arial" w:cs="Arial"/>
                          </w:rPr>
                          <w:t>,</w:t>
                        </w:r>
                        <w:r w:rsidR="00FD5CFC">
                          <w:rPr>
                            <w:rFonts w:ascii="Arial" w:hAnsi="Arial" w:cs="Arial"/>
                          </w:rPr>
                          <w:t>9</w:t>
                        </w:r>
                        <w:r w:rsidRPr="00FD5CFC">
                          <w:rPr>
                            <w:rFonts w:ascii="Arial" w:hAnsi="Arial" w:cs="Arial"/>
                          </w:rPr>
                          <w:t xml:space="preserve"> mil.kn) i materijalnu pomoć (1</w:t>
                        </w:r>
                        <w:r w:rsidR="00FD5CFC">
                          <w:rPr>
                            <w:rFonts w:ascii="Arial" w:hAnsi="Arial" w:cs="Arial"/>
                          </w:rPr>
                          <w:t>09</w:t>
                        </w:r>
                        <w:r w:rsidRPr="00FD5CFC">
                          <w:rPr>
                            <w:rFonts w:ascii="Arial" w:hAnsi="Arial" w:cs="Arial"/>
                          </w:rPr>
                          <w:t>,</w:t>
                        </w:r>
                        <w:r w:rsidR="00FD5CFC">
                          <w:rPr>
                            <w:rFonts w:ascii="Arial" w:hAnsi="Arial" w:cs="Arial"/>
                          </w:rPr>
                          <w:t>5</w:t>
                        </w:r>
                        <w:r w:rsidRPr="00FD5CF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D5CFC">
                          <w:rPr>
                            <w:rFonts w:ascii="Arial" w:hAnsi="Arial" w:cs="Arial"/>
                          </w:rPr>
                          <w:t>tis</w:t>
                        </w:r>
                        <w:r w:rsidRPr="00FD5CFC">
                          <w:rPr>
                            <w:rFonts w:ascii="Arial" w:hAnsi="Arial" w:cs="Arial"/>
                          </w:rPr>
                          <w:t xml:space="preserve">.kn).  </w:t>
                        </w:r>
                      </w:p>
                      <w:p w:rsidR="00FE60FC" w:rsidRPr="009412AD" w:rsidRDefault="00FE60FC" w:rsidP="00FE60F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D5CFC">
                          <w:rPr>
                            <w:rFonts w:ascii="Arial" w:hAnsi="Arial" w:cs="Arial"/>
                          </w:rPr>
                          <w:t xml:space="preserve">Najznačajnije financijske pomoći (kapitalne i tekuće) od županija, gradova i općina doznačene su  za sufinanciranje energetske obnove objekata po policijskim upravama i iznose cca </w:t>
                        </w:r>
                        <w:r w:rsidR="007E3373">
                          <w:rPr>
                            <w:rFonts w:ascii="Arial" w:hAnsi="Arial" w:cs="Arial"/>
                          </w:rPr>
                          <w:t>2</w:t>
                        </w:r>
                        <w:r w:rsidRPr="00FD5CFC">
                          <w:rPr>
                            <w:rFonts w:ascii="Arial" w:hAnsi="Arial" w:cs="Arial"/>
                          </w:rPr>
                          <w:t>,</w:t>
                        </w:r>
                        <w:r w:rsidR="007E3373">
                          <w:rPr>
                            <w:rFonts w:ascii="Arial" w:hAnsi="Arial" w:cs="Arial"/>
                          </w:rPr>
                          <w:t>7</w:t>
                        </w:r>
                        <w:r w:rsidRPr="00FD5CFC">
                          <w:rPr>
                            <w:rFonts w:ascii="Arial" w:hAnsi="Arial" w:cs="Arial"/>
                          </w:rPr>
                          <w:t xml:space="preserve"> mil.kn, a pomoći za financiranje sigurne turističke sezone iznose cca </w:t>
                        </w:r>
                        <w:r w:rsidR="00FD5CFC">
                          <w:rPr>
                            <w:rFonts w:ascii="Arial" w:hAnsi="Arial" w:cs="Arial"/>
                          </w:rPr>
                          <w:t>187</w:t>
                        </w:r>
                        <w:r w:rsidRPr="00FD5CFC">
                          <w:rPr>
                            <w:rFonts w:ascii="Arial" w:hAnsi="Arial" w:cs="Arial"/>
                          </w:rPr>
                          <w:t>,</w:t>
                        </w:r>
                        <w:r w:rsidR="00FD5CFC">
                          <w:rPr>
                            <w:rFonts w:ascii="Arial" w:hAnsi="Arial" w:cs="Arial"/>
                          </w:rPr>
                          <w:t>5</w:t>
                        </w:r>
                        <w:r w:rsidRPr="00FD5CFC">
                          <w:rPr>
                            <w:rFonts w:ascii="Arial" w:hAnsi="Arial" w:cs="Arial"/>
                          </w:rPr>
                          <w:t xml:space="preserve"> tis.kn) i dr.</w:t>
                        </w:r>
                      </w:p>
                    </w:tc>
                  </w:tr>
                  <w:tr w:rsidR="00FE60FC" w:rsidRPr="00683EE9" w:rsidTr="00FE60FC">
                    <w:trPr>
                      <w:trHeight w:val="113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683EE9" w:rsidRDefault="00E31B9A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082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E31B9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Prihodi s osnova pozitivnih tečajnih razlika (</w:t>
                        </w:r>
                        <w:r w:rsidR="00E31B9A">
                          <w:rPr>
                            <w:rFonts w:ascii="Arial" w:hAnsi="Arial" w:cs="Arial"/>
                          </w:rPr>
                          <w:t>66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E31B9A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E31B9A">
                          <w:rPr>
                            <w:rFonts w:ascii="Arial" w:hAnsi="Arial" w:cs="Arial"/>
                          </w:rPr>
                          <w:t>tis.kn) manji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su u odnosu na prethodnu godinu za </w:t>
                        </w:r>
                        <w:r w:rsidR="00E31B9A">
                          <w:rPr>
                            <w:rFonts w:ascii="Arial" w:hAnsi="Arial" w:cs="Arial"/>
                          </w:rPr>
                          <w:t>46,5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%, a ostvarenje istih ovisi o ukupnom prometu deviznih blagajni (devizne akontacije i obračuni troškova po deviznim putnim nalozima).  </w:t>
                        </w:r>
                      </w:p>
                    </w:tc>
                  </w:tr>
                  <w:tr w:rsidR="00FE60FC" w:rsidRPr="00683EE9" w:rsidTr="00FE60FC">
                    <w:trPr>
                      <w:trHeight w:val="113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683EE9" w:rsidRDefault="008B2B7C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084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D820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Prihod</w:t>
                        </w:r>
                        <w:r w:rsidR="008B2B7C">
                          <w:rPr>
                            <w:rFonts w:ascii="Arial" w:hAnsi="Arial" w:cs="Arial"/>
                          </w:rPr>
                          <w:t>i iz dobiti trgovački društava i dr. institucija po posebnim propisima manji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su za </w:t>
                        </w:r>
                        <w:r w:rsidR="008B2B7C">
                          <w:rPr>
                            <w:rFonts w:ascii="Arial" w:hAnsi="Arial" w:cs="Arial"/>
                          </w:rPr>
                          <w:t xml:space="preserve">  9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8B2B7C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>% u odnosu na prethodno razdoblje, a odnose se na prihod od dobiti trgovačkog društva AKD-a, u kojem RH ima udjela u temeljnom kapitalu. Sukladno Odluci Vlade RH (NN 88/2020) naplaćeno je 60% iz dobiti trgovačkog društva iz 20</w:t>
                        </w:r>
                        <w:r w:rsidR="008B2B7C">
                          <w:rPr>
                            <w:rFonts w:ascii="Arial" w:hAnsi="Arial" w:cs="Arial"/>
                          </w:rPr>
                          <w:t>20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.god. na izvor 43, što minimalno </w:t>
                        </w:r>
                        <w:r w:rsidR="00D8200A">
                          <w:rPr>
                            <w:rFonts w:ascii="Arial" w:hAnsi="Arial" w:cs="Arial"/>
                          </w:rPr>
                          <w:t xml:space="preserve">iznosi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cca </w:t>
                        </w:r>
                        <w:r w:rsidR="008B2B7C">
                          <w:rPr>
                            <w:rFonts w:ascii="Arial" w:hAnsi="Arial" w:cs="Arial"/>
                          </w:rPr>
                          <w:t>37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8B2B7C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mil.kn. Sredstva su namijenjena za poboljšanje materijalnih uvjeta policijskih službenika.  </w:t>
                        </w:r>
                      </w:p>
                    </w:tc>
                  </w:tr>
                  <w:tr w:rsidR="00FE60FC" w:rsidRPr="00683EE9" w:rsidTr="00FE60FC">
                    <w:trPr>
                      <w:trHeight w:val="529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683EE9" w:rsidRDefault="0067551D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091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D8200A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Prihodi od prodaje kratkotrajne nefinancijske imovine ostvareni su u iznosu od cca</w:t>
                        </w:r>
                        <w:r w:rsidR="0067551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83EE9">
                          <w:rPr>
                            <w:rFonts w:ascii="Arial" w:hAnsi="Arial" w:cs="Arial"/>
                          </w:rPr>
                          <w:t>2,</w:t>
                        </w:r>
                        <w:r w:rsidR="0067551D">
                          <w:rPr>
                            <w:rFonts w:ascii="Arial" w:hAnsi="Arial" w:cs="Arial"/>
                          </w:rPr>
                          <w:t>0</w:t>
                        </w:r>
                        <w:r w:rsidR="00D8200A">
                          <w:rPr>
                            <w:rFonts w:ascii="Arial" w:hAnsi="Arial" w:cs="Arial"/>
                          </w:rPr>
                          <w:t xml:space="preserve"> mil.kn i manji su za 78,4% u odnosu na prethodno razdoblje.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Evidentiranje istih vrši se s osnova danih materijalnih (tekućih) pomoći i donacija u imovini </w:t>
                        </w:r>
                        <w:r w:rsidR="00D8200A">
                          <w:rPr>
                            <w:rFonts w:ascii="Arial" w:hAnsi="Arial" w:cs="Arial"/>
                          </w:rPr>
                          <w:t>neprofitnim organizacijama (1,0 mil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.kn), </w:t>
                        </w:r>
                        <w:r w:rsidR="00D8200A">
                          <w:rPr>
                            <w:rFonts w:ascii="Arial" w:hAnsi="Arial" w:cs="Arial"/>
                          </w:rPr>
                          <w:t xml:space="preserve">ino vladama (1,0 mil.kn) te humanitarnim organizacijama (16,7 tis.kn) </w:t>
                        </w:r>
                        <w:r w:rsidRPr="00683EE9">
                          <w:rPr>
                            <w:rFonts w:ascii="Arial" w:hAnsi="Arial" w:cs="Arial"/>
                          </w:rPr>
                          <w:t>vezano uz pandemiju izazvanu virusom COV</w:t>
                        </w:r>
                        <w:r w:rsidR="0057313E">
                          <w:rPr>
                            <w:rFonts w:ascii="Arial" w:hAnsi="Arial" w:cs="Arial"/>
                          </w:rPr>
                          <w:t>ID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19</w:t>
                        </w:r>
                        <w:r w:rsidR="00D8200A">
                          <w:rPr>
                            <w:rFonts w:ascii="Arial" w:hAnsi="Arial" w:cs="Arial"/>
                          </w:rPr>
                          <w:t>.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rPr>
                      <w:trHeight w:val="113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B37958" w:rsidRDefault="00DF679B" w:rsidP="00FE60FC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107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DF679B" w:rsidRDefault="00FE60FC" w:rsidP="00FE60FC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DF679B">
                          <w:rPr>
                            <w:rFonts w:ascii="Arial" w:hAnsi="Arial" w:cs="Arial"/>
                          </w:rPr>
                          <w:t>Prihodi po pos</w:t>
                        </w:r>
                        <w:r w:rsidR="00C3636A">
                          <w:rPr>
                            <w:rFonts w:ascii="Arial" w:hAnsi="Arial" w:cs="Arial"/>
                          </w:rPr>
                          <w:t>eb</w:t>
                        </w:r>
                        <w:r w:rsidRPr="00DF679B">
                          <w:rPr>
                            <w:rFonts w:ascii="Arial" w:hAnsi="Arial" w:cs="Arial"/>
                          </w:rPr>
                          <w:t xml:space="preserve">nim propisima </w:t>
                        </w:r>
                        <w:r w:rsidR="00DF679B">
                          <w:rPr>
                            <w:rFonts w:ascii="Arial" w:hAnsi="Arial" w:cs="Arial"/>
                          </w:rPr>
                          <w:t>evidentirani  na izvoru 43, veći</w:t>
                        </w:r>
                        <w:r w:rsidRPr="00DF679B">
                          <w:rPr>
                            <w:rFonts w:ascii="Arial" w:hAnsi="Arial" w:cs="Arial"/>
                          </w:rPr>
                          <w:t xml:space="preserve"> su u odnosu na prethodnu godinu za 1</w:t>
                        </w:r>
                        <w:r w:rsidR="00DF679B">
                          <w:rPr>
                            <w:rFonts w:ascii="Arial" w:hAnsi="Arial" w:cs="Arial"/>
                          </w:rPr>
                          <w:t>8</w:t>
                        </w:r>
                        <w:r w:rsidRPr="00DF679B">
                          <w:rPr>
                            <w:rFonts w:ascii="Arial" w:hAnsi="Arial" w:cs="Arial"/>
                          </w:rPr>
                          <w:t>,</w:t>
                        </w:r>
                        <w:r w:rsidR="00DF679B">
                          <w:rPr>
                            <w:rFonts w:ascii="Arial" w:hAnsi="Arial" w:cs="Arial"/>
                          </w:rPr>
                          <w:t>1</w:t>
                        </w:r>
                        <w:r w:rsidRPr="00DF679B">
                          <w:rPr>
                            <w:rFonts w:ascii="Arial" w:hAnsi="Arial" w:cs="Arial"/>
                          </w:rPr>
                          <w:t xml:space="preserve"> %, a odnose se na:</w:t>
                        </w:r>
                      </w:p>
                      <w:p w:rsidR="00FE60FC" w:rsidRPr="001166BC" w:rsidRDefault="00FE60FC" w:rsidP="00FE60FC">
                        <w:pPr>
                          <w:numPr>
                            <w:ilvl w:val="0"/>
                            <w:numId w:val="5"/>
                          </w:numPr>
                          <w:spacing w:line="36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1166BC">
                          <w:rPr>
                            <w:rFonts w:ascii="Arial" w:hAnsi="Arial" w:cs="Arial"/>
                          </w:rPr>
                          <w:t>Uplate Centra za vozila Hrvatske, namijenjene su za Nacionalni program sigurnosti cestovnog prometa, ostvarene u iznosu od cca 7</w:t>
                        </w:r>
                        <w:r w:rsidR="001166BC">
                          <w:rPr>
                            <w:rFonts w:ascii="Arial" w:hAnsi="Arial" w:cs="Arial"/>
                          </w:rPr>
                          <w:t>7</w:t>
                        </w:r>
                        <w:r w:rsidRPr="001166BC">
                          <w:rPr>
                            <w:rFonts w:ascii="Arial" w:hAnsi="Arial" w:cs="Arial"/>
                          </w:rPr>
                          <w:t>,</w:t>
                        </w:r>
                        <w:r w:rsidR="001166BC">
                          <w:rPr>
                            <w:rFonts w:ascii="Arial" w:hAnsi="Arial" w:cs="Arial"/>
                          </w:rPr>
                          <w:t>4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 mil.kn (u 20</w:t>
                        </w:r>
                        <w:r w:rsidR="001166BC">
                          <w:rPr>
                            <w:rFonts w:ascii="Arial" w:hAnsi="Arial" w:cs="Arial"/>
                          </w:rPr>
                          <w:t>20</w:t>
                        </w:r>
                        <w:r w:rsidRPr="001166BC">
                          <w:rPr>
                            <w:rFonts w:ascii="Arial" w:hAnsi="Arial" w:cs="Arial"/>
                          </w:rPr>
                          <w:t>.god. ostvarenje 7</w:t>
                        </w:r>
                        <w:r w:rsidR="001166BC">
                          <w:rPr>
                            <w:rFonts w:ascii="Arial" w:hAnsi="Arial" w:cs="Arial"/>
                          </w:rPr>
                          <w:t>4</w:t>
                        </w:r>
                        <w:r w:rsidRPr="001166BC">
                          <w:rPr>
                            <w:rFonts w:ascii="Arial" w:hAnsi="Arial" w:cs="Arial"/>
                          </w:rPr>
                          <w:t>,</w:t>
                        </w:r>
                        <w:r w:rsidR="001166BC">
                          <w:rPr>
                            <w:rFonts w:ascii="Arial" w:hAnsi="Arial" w:cs="Arial"/>
                          </w:rPr>
                          <w:t>7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 mil.kn).</w:t>
                        </w:r>
                      </w:p>
                      <w:p w:rsidR="00FE60FC" w:rsidRPr="001166BC" w:rsidRDefault="00FE60FC" w:rsidP="00FE60FC">
                        <w:pPr>
                          <w:numPr>
                            <w:ilvl w:val="0"/>
                            <w:numId w:val="5"/>
                          </w:numPr>
                          <w:spacing w:line="36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1166BC">
                          <w:rPr>
                            <w:rFonts w:ascii="Arial" w:hAnsi="Arial" w:cs="Arial"/>
                          </w:rPr>
                          <w:t xml:space="preserve">Uplate fizičkih i pravih osoba za plative tiskanice (vozačke dozvole, putovnice, osobne iskaznice, registarske pločice itd.), ostvarene su u iznosu od </w:t>
                        </w:r>
                        <w:r w:rsidR="001166BC">
                          <w:rPr>
                            <w:rFonts w:ascii="Arial" w:hAnsi="Arial" w:cs="Arial"/>
                          </w:rPr>
                          <w:t>244</w:t>
                        </w:r>
                        <w:r w:rsidRPr="001166BC">
                          <w:rPr>
                            <w:rFonts w:ascii="Arial" w:hAnsi="Arial" w:cs="Arial"/>
                          </w:rPr>
                          <w:t>,</w:t>
                        </w:r>
                        <w:r w:rsidR="001166BC">
                          <w:rPr>
                            <w:rFonts w:ascii="Arial" w:hAnsi="Arial" w:cs="Arial"/>
                          </w:rPr>
                          <w:t>5 mil.kn ( u 2020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.god. cca </w:t>
                        </w:r>
                        <w:r w:rsidR="001166BC">
                          <w:rPr>
                            <w:rFonts w:ascii="Arial" w:hAnsi="Arial" w:cs="Arial"/>
                          </w:rPr>
                          <w:t>174</w:t>
                        </w:r>
                        <w:r w:rsidRPr="001166BC">
                          <w:rPr>
                            <w:rFonts w:ascii="Arial" w:hAnsi="Arial" w:cs="Arial"/>
                          </w:rPr>
                          <w:t>,</w:t>
                        </w:r>
                        <w:r w:rsidR="001166BC">
                          <w:rPr>
                            <w:rFonts w:ascii="Arial" w:hAnsi="Arial" w:cs="Arial"/>
                          </w:rPr>
                          <w:t>9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 mil.kn). Od ukupno ostvarenih prihoda na izvoru 11 od prodaje tiskanica (sukladno Zakonu o iz</w:t>
                        </w:r>
                        <w:r w:rsidR="007C236C">
                          <w:rPr>
                            <w:rFonts w:ascii="Arial" w:hAnsi="Arial" w:cs="Arial"/>
                          </w:rPr>
                          <w:t>vršenju proračuna) izdvaja se 100</w:t>
                        </w:r>
                        <w:r w:rsidRPr="001166BC">
                          <w:rPr>
                            <w:rFonts w:ascii="Arial" w:hAnsi="Arial" w:cs="Arial"/>
                          </w:rPr>
                          <w:t>% na izvor 43 i koristi za plaćanje računa za izradu tiskanica</w:t>
                        </w:r>
                        <w:r w:rsidR="007C236C">
                          <w:rPr>
                            <w:rFonts w:ascii="Arial" w:hAnsi="Arial" w:cs="Arial"/>
                          </w:rPr>
                          <w:t xml:space="preserve"> (AKD)</w:t>
                        </w:r>
                        <w:r w:rsidRPr="001166BC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E60FC" w:rsidRPr="001166BC" w:rsidRDefault="00FE60FC" w:rsidP="00FE60FC">
                        <w:pPr>
                          <w:numPr>
                            <w:ilvl w:val="0"/>
                            <w:numId w:val="5"/>
                          </w:numPr>
                          <w:spacing w:line="36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1166BC">
                          <w:rPr>
                            <w:rFonts w:ascii="Arial" w:hAnsi="Arial" w:cs="Arial"/>
                          </w:rPr>
                          <w:t>Uplate udjela za terminalne i rutne naknade, za aktivnosti potrage i spašavanja zrakoplova (projekt</w:t>
                        </w:r>
                        <w:r w:rsidR="001166BC">
                          <w:rPr>
                            <w:rFonts w:ascii="Arial" w:hAnsi="Arial" w:cs="Arial"/>
                          </w:rPr>
                          <w:t xml:space="preserve"> Eurocontrol) u 2021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.god. izvršene su u iznosu od cca </w:t>
                        </w:r>
                        <w:r w:rsidR="001166BC">
                          <w:rPr>
                            <w:rFonts w:ascii="Arial" w:hAnsi="Arial" w:cs="Arial"/>
                          </w:rPr>
                          <w:t>3</w:t>
                        </w:r>
                        <w:r w:rsidRPr="001166BC">
                          <w:rPr>
                            <w:rFonts w:ascii="Arial" w:hAnsi="Arial" w:cs="Arial"/>
                          </w:rPr>
                          <w:t>,</w:t>
                        </w:r>
                        <w:r w:rsidR="001166BC">
                          <w:rPr>
                            <w:rFonts w:ascii="Arial" w:hAnsi="Arial" w:cs="Arial"/>
                          </w:rPr>
                          <w:t>2 mil.kn (u 2020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.god. </w:t>
                        </w:r>
                        <w:r w:rsidR="001166BC">
                          <w:rPr>
                            <w:rFonts w:ascii="Arial" w:hAnsi="Arial" w:cs="Arial"/>
                          </w:rPr>
                          <w:t>1</w:t>
                        </w:r>
                        <w:r w:rsidRPr="001166BC">
                          <w:rPr>
                            <w:rFonts w:ascii="Arial" w:hAnsi="Arial" w:cs="Arial"/>
                          </w:rPr>
                          <w:t>,</w:t>
                        </w:r>
                        <w:r w:rsidR="001166BC">
                          <w:rPr>
                            <w:rFonts w:ascii="Arial" w:hAnsi="Arial" w:cs="Arial"/>
                          </w:rPr>
                          <w:t>3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 mil.kn).</w:t>
                        </w:r>
                      </w:p>
                      <w:p w:rsidR="00FE60FC" w:rsidRPr="00B37958" w:rsidRDefault="00FE60FC" w:rsidP="001166BC">
                        <w:pPr>
                          <w:numPr>
                            <w:ilvl w:val="0"/>
                            <w:numId w:val="5"/>
                          </w:numPr>
                          <w:spacing w:line="360" w:lineRule="auto"/>
                          <w:contextualSpacing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1166BC">
                          <w:rPr>
                            <w:rFonts w:ascii="Arial" w:hAnsi="Arial" w:cs="Arial"/>
                          </w:rPr>
                          <w:t xml:space="preserve">Uplate naknada za korištenje opće korisnih funkcija šume (Ministarstvo poljoprivrede) iznose </w:t>
                        </w:r>
                        <w:r w:rsidR="001166BC">
                          <w:rPr>
                            <w:rFonts w:ascii="Arial" w:hAnsi="Arial" w:cs="Arial"/>
                          </w:rPr>
                          <w:t>47</w:t>
                        </w:r>
                        <w:r w:rsidRPr="001166BC">
                          <w:rPr>
                            <w:rFonts w:ascii="Arial" w:hAnsi="Arial" w:cs="Arial"/>
                          </w:rPr>
                          <w:t>.</w:t>
                        </w:r>
                        <w:r w:rsidR="001166BC">
                          <w:rPr>
                            <w:rFonts w:ascii="Arial" w:hAnsi="Arial" w:cs="Arial"/>
                          </w:rPr>
                          <w:t>3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 mil.kn (u 20</w:t>
                        </w:r>
                        <w:r w:rsidR="001166BC">
                          <w:rPr>
                            <w:rFonts w:ascii="Arial" w:hAnsi="Arial" w:cs="Arial"/>
                          </w:rPr>
                          <w:t>20</w:t>
                        </w:r>
                        <w:r w:rsidRPr="001166BC">
                          <w:rPr>
                            <w:rFonts w:ascii="Arial" w:hAnsi="Arial" w:cs="Arial"/>
                          </w:rPr>
                          <w:t xml:space="preserve">.god. </w:t>
                        </w:r>
                        <w:r w:rsidR="001166BC">
                          <w:rPr>
                            <w:rFonts w:ascii="Arial" w:hAnsi="Arial" w:cs="Arial"/>
                          </w:rPr>
                          <w:t>64</w:t>
                        </w:r>
                        <w:r w:rsidRPr="001166BC">
                          <w:rPr>
                            <w:rFonts w:ascii="Arial" w:hAnsi="Arial" w:cs="Arial"/>
                          </w:rPr>
                          <w:t>,6 mil.kn), namijenjene su za razminiranje šuma i šumskih zemljišta.</w:t>
                        </w:r>
                      </w:p>
                    </w:tc>
                  </w:tr>
                  <w:tr w:rsidR="002C524A" w:rsidRPr="002C524A" w:rsidTr="00FE60FC">
                    <w:trPr>
                      <w:trHeight w:val="737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AC5F76" w:rsidRDefault="00FE60FC" w:rsidP="002C524A">
                        <w:pPr>
                          <w:rPr>
                            <w:rFonts w:ascii="Arial" w:hAnsi="Arial" w:cs="Arial"/>
                          </w:rPr>
                        </w:pPr>
                        <w:r w:rsidRPr="00AC5F76">
                          <w:rPr>
                            <w:rFonts w:ascii="Arial" w:hAnsi="Arial" w:cs="Arial"/>
                          </w:rPr>
                          <w:t>AOP 12</w:t>
                        </w:r>
                        <w:r w:rsidR="002C524A" w:rsidRPr="00AC5F76">
                          <w:rPr>
                            <w:rFonts w:ascii="Arial" w:hAnsi="Arial" w:cs="Arial"/>
                          </w:rPr>
                          <w:t>0</w:t>
                        </w:r>
                        <w:r w:rsidRPr="00AC5F76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AC5F76" w:rsidRDefault="00AC5F76" w:rsidP="00AC5F76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AC5F76">
                          <w:rPr>
                            <w:rFonts w:ascii="Arial" w:hAnsi="Arial" w:cs="Arial"/>
                          </w:rPr>
                          <w:t xml:space="preserve">Prihodi od prodaje proizvoda i roba te pruženih usluga ostvareni su od usluga ljetovanja u UJ Valbandonu i Kovčanju, prodaje namirnica u restoranima i kantinama, kao i prihod ostvareni od naplate za usluge tehničkog nadgledanja postrojenja, opreme, instalacije i uređaja u prostorima ugroženim eksplozivnom atmosferom (djelatnost bivše EX Agencije). Ostvarenje istih manje je u odnosu na prethodno razdoblje za 3,2 %, što je bilo za očekivati budući je 2021.god. obilježena pandemijom COVID 19 te je i prodaja i usluga i roba bila smanjena. </w:t>
                        </w:r>
                      </w:p>
                    </w:tc>
                  </w:tr>
                  <w:tr w:rsidR="00FE60FC" w:rsidRPr="00683EE9" w:rsidTr="00E73FF1">
                    <w:trPr>
                      <w:trHeight w:val="3009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73FF1" w:rsidRDefault="002C524A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123</w:t>
                        </w:r>
                      </w:p>
                      <w:p w:rsidR="00E73FF1" w:rsidRPr="00E73FF1" w:rsidRDefault="00E73FF1" w:rsidP="00E73FF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73FF1" w:rsidRPr="00E73FF1" w:rsidRDefault="00E73FF1" w:rsidP="00E73FF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73FF1" w:rsidRPr="00E73FF1" w:rsidRDefault="00E73FF1" w:rsidP="00E73FF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E73FF1" w:rsidRPr="00E73FF1" w:rsidRDefault="00E73FF1" w:rsidP="00E73FF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E73FF1" w:rsidRDefault="00FE60FC" w:rsidP="00E73FF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E73FF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Donacije od pravnih i fizičkih osoba izvan </w:t>
                        </w:r>
                        <w:r w:rsidR="002C524A">
                          <w:rPr>
                            <w:rFonts w:ascii="Arial" w:hAnsi="Arial" w:cs="Arial"/>
                          </w:rPr>
                          <w:t>općeg proračuna (manje su za 64,2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%) ostvarene su kao financijske (cca </w:t>
                        </w:r>
                        <w:r w:rsidR="00416596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416596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mil.kn) i materijalne donacije (</w:t>
                        </w:r>
                        <w:r w:rsidR="00416596">
                          <w:rPr>
                            <w:rFonts w:ascii="Arial" w:hAnsi="Arial" w:cs="Arial"/>
                          </w:rPr>
                          <w:t>cca 5</w:t>
                        </w:r>
                        <w:r w:rsidRPr="00683EE9">
                          <w:rPr>
                            <w:rFonts w:ascii="Arial" w:hAnsi="Arial" w:cs="Arial"/>
                          </w:rPr>
                          <w:t>,1 mil.kn). Financijske</w:t>
                        </w:r>
                        <w:r w:rsidR="00416596">
                          <w:rPr>
                            <w:rFonts w:ascii="Arial" w:hAnsi="Arial" w:cs="Arial"/>
                          </w:rPr>
                          <w:t xml:space="preserve"> donacije od </w:t>
                        </w:r>
                        <w:r w:rsidRPr="00683EE9">
                          <w:rPr>
                            <w:rFonts w:ascii="Arial" w:hAnsi="Arial" w:cs="Arial"/>
                          </w:rPr>
                          <w:t>Hrvatske turističke zajednice namijenjene za sufinanciranje sigurne turističke sezone i</w:t>
                        </w:r>
                        <w:r w:rsidR="00416596">
                          <w:rPr>
                            <w:rFonts w:ascii="Arial" w:hAnsi="Arial" w:cs="Arial"/>
                          </w:rPr>
                          <w:t>znose cca 1,7 mil.kn.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Donacije u naravi odnose se na </w:t>
                        </w:r>
                        <w:r w:rsidR="00E73FF1">
                          <w:rPr>
                            <w:rFonts w:ascii="Arial" w:hAnsi="Arial" w:cs="Arial"/>
                          </w:rPr>
                          <w:t>donaciju kontejnera od MOL-a (cca 2,8 mil.kn), tv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rtke King ICT </w:t>
                        </w:r>
                        <w:r w:rsidR="00E73FF1">
                          <w:rPr>
                            <w:rFonts w:ascii="Arial" w:hAnsi="Arial" w:cs="Arial"/>
                          </w:rPr>
                          <w:t xml:space="preserve">-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primljena donacija vezanu je za  ugovornu obvezu zamjene informatičke opreme iznosi (cca </w:t>
                        </w:r>
                        <w:r w:rsidR="00E73FF1">
                          <w:rPr>
                            <w:rFonts w:ascii="Arial" w:hAnsi="Arial" w:cs="Arial"/>
                          </w:rPr>
                          <w:t>1,6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E73FF1">
                          <w:rPr>
                            <w:rFonts w:ascii="Arial" w:hAnsi="Arial" w:cs="Arial"/>
                          </w:rPr>
                          <w:t>mil.kn), donacija skladišta na korištenje od strane INA-e (cca 466,4 tis.kn) kao i donacija pasa od strane fizičkih osoba (cca 63,8 tis.kn).</w:t>
                        </w:r>
                      </w:p>
                    </w:tc>
                  </w:tr>
                  <w:tr w:rsidR="006E2368" w:rsidRPr="006E2368" w:rsidTr="008607D6">
                    <w:trPr>
                      <w:trHeight w:val="1498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6E2368" w:rsidRDefault="00FE60FC" w:rsidP="006E2368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6E2368">
                          <w:rPr>
                            <w:rFonts w:ascii="Arial" w:hAnsi="Arial" w:cs="Arial"/>
                          </w:rPr>
                          <w:t xml:space="preserve">AOP </w:t>
                        </w:r>
                        <w:r w:rsidR="00F10F45" w:rsidRPr="006E2368">
                          <w:rPr>
                            <w:rFonts w:ascii="Arial" w:hAnsi="Arial" w:cs="Arial"/>
                          </w:rPr>
                          <w:t xml:space="preserve"> 129</w:t>
                        </w:r>
                        <w:r w:rsidR="006E2368" w:rsidRPr="006E236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E2368" w:rsidRDefault="00FE60FC" w:rsidP="006E2368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E2368">
                          <w:rPr>
                            <w:rFonts w:ascii="Arial" w:hAnsi="Arial" w:cs="Arial"/>
                          </w:rPr>
                          <w:t xml:space="preserve">Prihodi iz nadležnog proračuna za financiranje redovne djelatnosti proračunskog korisnika, veći su u odnosu na prethodno razdoblje za </w:t>
                        </w:r>
                        <w:r w:rsidR="00427EE5" w:rsidRPr="006E2368">
                          <w:rPr>
                            <w:rFonts w:ascii="Arial" w:hAnsi="Arial" w:cs="Arial"/>
                          </w:rPr>
                          <w:t>8</w:t>
                        </w:r>
                        <w:r w:rsidRPr="006E2368">
                          <w:rPr>
                            <w:rFonts w:ascii="Arial" w:hAnsi="Arial" w:cs="Arial"/>
                          </w:rPr>
                          <w:t>,</w:t>
                        </w:r>
                        <w:r w:rsidR="00427EE5" w:rsidRPr="006E2368">
                          <w:rPr>
                            <w:rFonts w:ascii="Arial" w:hAnsi="Arial" w:cs="Arial"/>
                          </w:rPr>
                          <w:t>1</w:t>
                        </w:r>
                        <w:r w:rsidRPr="006E2368">
                          <w:rPr>
                            <w:rFonts w:ascii="Arial" w:hAnsi="Arial" w:cs="Arial"/>
                          </w:rPr>
                          <w:t xml:space="preserve"> %. U odnosu na iskaz Riznice (Plan izvršenja po aktivnostima za 202</w:t>
                        </w:r>
                        <w:r w:rsidR="006E2368" w:rsidRPr="006E2368">
                          <w:rPr>
                            <w:rFonts w:ascii="Arial" w:hAnsi="Arial" w:cs="Arial"/>
                          </w:rPr>
                          <w:t>1</w:t>
                        </w:r>
                        <w:r w:rsidRPr="006E2368">
                          <w:rPr>
                            <w:rFonts w:ascii="Arial" w:hAnsi="Arial" w:cs="Arial"/>
                          </w:rPr>
                          <w:t xml:space="preserve">.god.) </w:t>
                        </w:r>
                        <w:r w:rsidR="006E2368" w:rsidRPr="006E2368">
                          <w:rPr>
                            <w:rFonts w:ascii="Arial" w:hAnsi="Arial" w:cs="Arial"/>
                          </w:rPr>
                          <w:t xml:space="preserve">ne </w:t>
                        </w:r>
                        <w:r w:rsidRPr="006E2368">
                          <w:rPr>
                            <w:rFonts w:ascii="Arial" w:hAnsi="Arial" w:cs="Arial"/>
                          </w:rPr>
                          <w:t>postoji odstupanje za</w:t>
                        </w:r>
                        <w:r w:rsidR="006E2368" w:rsidRPr="006E2368">
                          <w:rPr>
                            <w:rFonts w:ascii="Arial" w:hAnsi="Arial" w:cs="Arial"/>
                          </w:rPr>
                          <w:t xml:space="preserve"> navedeno razdoblje.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484184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484184">
                          <w:rPr>
                            <w:rFonts w:ascii="Arial" w:hAnsi="Arial" w:cs="Arial"/>
                          </w:rPr>
                          <w:t>AOP 148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484184" w:rsidP="0048418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8738C8">
                          <w:rPr>
                            <w:rFonts w:ascii="Arial" w:hAnsi="Arial" w:cs="Arial"/>
                          </w:rPr>
                          <w:t xml:space="preserve">Plaće (bruto) su u 2021.g. utrošene za 7,1% više nego u 2020.g. Razlog tome je povećanje osnovice od 4,04% koja se primjenjuje od 01. siječnja 2021.g., a temeljem III. Dodatka Kolektivnog ugovora za državne službenike </w:t>
                        </w:r>
                        <w:r w:rsidRPr="008738C8">
                          <w:rPr>
                            <w:rFonts w:ascii="Arial" w:hAnsi="Arial" w:cs="Arial"/>
                          </w:rPr>
                          <w:lastRenderedPageBreak/>
                          <w:t xml:space="preserve">i namještenike te </w:t>
                        </w:r>
                        <w:r w:rsidRPr="008738C8">
                          <w:rPr>
                            <w:rFonts w:ascii="Arial" w:eastAsia="Times New Roman" w:hAnsi="Arial" w:cs="Arial"/>
                            <w:lang w:eastAsia="hr-HR"/>
                          </w:rPr>
                          <w:t>zbog povećanog angažmana policijskih službenika vezano uz provedbe mjera otklanjanja posljedica katastrofe uzrokovane potresom (prekovremeni rad), pojačanog angažiranja policije i Ravnateljstva civilne zaštite (COVID) u dijelu osiguranja turističke sezone, aktivnosti na granici vezano uz migrantsku krizu te radi povećanih troškova za isp</w:t>
                        </w:r>
                        <w:r w:rsidR="00231450">
                          <w:rPr>
                            <w:rFonts w:ascii="Arial" w:eastAsia="Times New Roman" w:hAnsi="Arial" w:cs="Arial"/>
                            <w:lang w:eastAsia="hr-HR"/>
                          </w:rPr>
                          <w:t>l</w:t>
                        </w:r>
                        <w:r w:rsidRPr="008738C8">
                          <w:rPr>
                            <w:rFonts w:ascii="Arial" w:eastAsia="Times New Roman" w:hAnsi="Arial" w:cs="Arial"/>
                            <w:lang w:eastAsia="hr-HR"/>
                          </w:rPr>
                          <w:t>ate plaće po sudskim presudama, na koje jednostavno ne možemo utjecati.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484184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484184">
                          <w:rPr>
                            <w:rFonts w:ascii="Arial" w:hAnsi="Arial" w:cs="Arial"/>
                          </w:rPr>
                          <w:lastRenderedPageBreak/>
                          <w:t>AOP 153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484184" w:rsidP="0048418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7650CE">
                          <w:rPr>
                            <w:rFonts w:ascii="Arial" w:hAnsi="Arial" w:cs="Arial"/>
                          </w:rPr>
                          <w:t>Ostali rashodi za zaposlene  u 2021.g. su  neznatno veći u odnosu na 2020.g. (2,7%), a isto se odnosi na isplatu jubilarnih nagrada, božićnice, regresa, dara za djecu, otpremnina te naknada za bolest i invalidnost.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484184" w:rsidRDefault="0048418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484184">
                          <w:rPr>
                            <w:rFonts w:ascii="Arial" w:hAnsi="Arial" w:cs="Arial"/>
                          </w:rPr>
                          <w:t>AOP 154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484184" w:rsidP="0048418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7650CE">
                          <w:rPr>
                            <w:rFonts w:ascii="Arial" w:hAnsi="Arial" w:cs="Arial"/>
                          </w:rPr>
                          <w:t>Rashodi za isplatu doprinosa na plaće veći su za 5,9% u odnosu na 2020.g., a u direktnoj su vezi s povećanim</w:t>
                        </w:r>
                        <w:r>
                          <w:rPr>
                            <w:rFonts w:ascii="Arial" w:hAnsi="Arial" w:cs="Arial"/>
                          </w:rPr>
                          <w:t xml:space="preserve"> troškovima za isplatu plaće (br</w:t>
                        </w:r>
                        <w:r w:rsidRPr="007650CE">
                          <w:rPr>
                            <w:rFonts w:ascii="Arial" w:hAnsi="Arial" w:cs="Arial"/>
                          </w:rPr>
                          <w:t>uto) što je obrazloženo pod AOP 148.</w:t>
                        </w:r>
                        <w:r w:rsidR="00FE60FC" w:rsidRPr="00FF27A7"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484184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159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484184" w:rsidP="0048418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9374E8">
                          <w:rPr>
                            <w:rFonts w:ascii="Arial" w:hAnsi="Arial" w:cs="Arial"/>
                          </w:rPr>
                          <w:t>Naknade troškova zaposlenima uvećani su u 2021.g. za 7,2% u odnosu na 2020.g. i to najvećim dijelom za isplatu naknada za rad na terenu policijskim službenicima angažiranim na poslovima ilegalnih migracija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rPr>
                      <w:trHeight w:val="1780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484184" w:rsidRDefault="0048418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484184">
                          <w:rPr>
                            <w:rFonts w:ascii="Arial" w:hAnsi="Arial" w:cs="Arial"/>
                          </w:rPr>
                          <w:t>AOP 16</w:t>
                        </w:r>
                        <w:r w:rsidR="00FE60FC" w:rsidRPr="00484184">
                          <w:rPr>
                            <w:rFonts w:ascii="Arial" w:hAnsi="Arial" w:cs="Arial"/>
                          </w:rPr>
                          <w:t>4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484184" w:rsidP="00484184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B16709">
                          <w:rPr>
                            <w:rFonts w:ascii="Arial" w:hAnsi="Arial" w:cs="Arial"/>
                          </w:rPr>
                          <w:t>Rashodi za materijal i energiju u 2021.g. manji su za 8,7% u odnosu na prethodnu godinu i to najvećim dijelom  na stavci materijala za higijenske potrebe koji se u 2020.g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Pr="00B16709">
                          <w:rPr>
                            <w:rFonts w:ascii="Arial" w:hAnsi="Arial" w:cs="Arial"/>
                          </w:rPr>
                          <w:t xml:space="preserve"> nabavljao u ogromnim količinama zbog početka epidemije izazvane COVID-om dok je u 2021.g. nabava istog </w:t>
                        </w:r>
                        <w:r>
                          <w:rPr>
                            <w:rFonts w:ascii="Arial" w:hAnsi="Arial" w:cs="Arial"/>
                          </w:rPr>
                          <w:t>bila u znatno manjim količinama.</w:t>
                        </w:r>
                      </w:p>
                    </w:tc>
                  </w:tr>
                  <w:tr w:rsidR="00FE60FC" w:rsidRPr="00683EE9" w:rsidTr="00FE60FC">
                    <w:trPr>
                      <w:trHeight w:val="81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484184" w:rsidRDefault="0048418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484184">
                          <w:rPr>
                            <w:rFonts w:ascii="Arial" w:hAnsi="Arial" w:cs="Arial"/>
                          </w:rPr>
                          <w:t>AOP 172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484184" w:rsidP="0048418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E7766E">
                          <w:rPr>
                            <w:rFonts w:ascii="Arial" w:hAnsi="Arial" w:cs="Arial"/>
                          </w:rPr>
                          <w:t>Rashodi za usluge su u 2021.g. veći za 3,1% u odnosu na prethodnu godinu i to najvećim</w:t>
                        </w:r>
                        <w:r w:rsidR="00AD2989">
                          <w:rPr>
                            <w:rFonts w:ascii="Arial" w:hAnsi="Arial" w:cs="Arial"/>
                          </w:rPr>
                          <w:t xml:space="preserve"> dijelom</w:t>
                        </w:r>
                        <w:r w:rsidRPr="00E7766E">
                          <w:rPr>
                            <w:rFonts w:ascii="Arial" w:hAnsi="Arial" w:cs="Arial"/>
                          </w:rPr>
                          <w:t xml:space="preserve"> na uslugama telefona, pošte i prijevoza za podmirenje obveza vezanih uz zakup linija te na uslugama tekućeg i investicijskog održavanja i to najvećim dijelom na održavanju vozila i opreme (termovizije i dr.) angažiranih u akcijama vezano uz ilegalne migracije.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484184" w:rsidRDefault="0048418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484184">
                          <w:rPr>
                            <w:rFonts w:ascii="Arial" w:hAnsi="Arial" w:cs="Arial"/>
                          </w:rPr>
                          <w:t>AOP 182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484184" w:rsidP="00484184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436A05">
                          <w:rPr>
                            <w:rFonts w:ascii="Arial" w:hAnsi="Arial" w:cs="Arial"/>
                          </w:rPr>
                          <w:t>Naknade troškova osobama izvan radnog odnosa  su u 2021.g. veće za 51,9% u odnosu na prethodnu godinu i to najvećim dijelom na aktivnosti Sustav civilne zaštite za isplatu naknada osobama koje su mobilizirane temeljem naloga Ravnateljstva civilne zaštite u svrhu provedbe mjera otklanjanja posljedica katastrofe uzrokovane potresom na području Sisačko-moslavačke, Zagrebačke i Karlovačke županije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r w:rsidRPr="00436A05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AF7704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t>AOP 183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AF7704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867ADF">
                          <w:rPr>
                            <w:rFonts w:ascii="Arial" w:hAnsi="Arial" w:cs="Arial"/>
                          </w:rPr>
                          <w:t xml:space="preserve">Ostali nespomenuti rashodi poslovanja su u 2021.g. veći za 801,9% u odnosu na prethodnu godinu i to najvećim dijelom na ostalim nespomenutim rashodima poslovanja za podmirenje troškova mobilizacije pravnih osoba temeljem naloga Ravnateljstva civilne zaštite u svrhu provedbe mjera otklanjanja posljedica katastrofe uzrokovane potresom na području Sisačko-moslavačke, Zagrebačke i Karlovačke županije.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AF7704" w:rsidRDefault="00AF770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t>AOP 19</w:t>
                        </w:r>
                        <w:r w:rsidR="00FE60FC" w:rsidRPr="00AF7704">
                          <w:rPr>
                            <w:rFonts w:ascii="Arial" w:hAnsi="Arial" w:cs="Arial"/>
                          </w:rPr>
                          <w:t xml:space="preserve">7 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AF7704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053D25">
                          <w:rPr>
                            <w:rFonts w:ascii="Arial" w:hAnsi="Arial" w:cs="Arial"/>
                          </w:rPr>
                          <w:t>Kamate za primljene kredite i zajmove  su u 2021.g. manje za 30,85% u odnosu na prethodnu godinu, a isto se odnosi na kamate vezane uz otplatu financijskog leasinga za vozila.</w:t>
                        </w:r>
                        <w:r w:rsidR="00FE60FC" w:rsidRPr="00FF27A7"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AF7704" w:rsidRDefault="00AF770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t>AOP 205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AF7704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053D25">
                          <w:rPr>
                            <w:rFonts w:ascii="Arial" w:hAnsi="Arial" w:cs="Arial"/>
                          </w:rPr>
                          <w:t>Ostali financijski rashodi su u 2021.g. veći za 2,6% u odnosu na 2020.g. i to najvećim dijelom  na stavci bankarskih usluga i usluga platnog prometa.</w:t>
                        </w:r>
                      </w:p>
                    </w:tc>
                  </w:tr>
                  <w:tr w:rsidR="00FE60FC" w:rsidRPr="00683EE9" w:rsidTr="00FE60FC">
                    <w:trPr>
                      <w:trHeight w:val="81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AF7704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t>AOP 2</w:t>
                        </w:r>
                        <w:r w:rsidR="00AF7704" w:rsidRPr="00AF7704">
                          <w:rPr>
                            <w:rFonts w:ascii="Arial" w:hAnsi="Arial" w:cs="Arial"/>
                          </w:rPr>
                          <w:t>14</w:t>
                        </w:r>
                        <w:r w:rsidRPr="00AF7704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AF7704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053D25">
                          <w:rPr>
                            <w:rFonts w:ascii="Arial" w:hAnsi="Arial" w:cs="Arial"/>
                          </w:rPr>
                          <w:t>Realizacija subvencija trgovačkim društvima, zadrugama, poljoprivrednicima i obrtnicima izvan javnog sektora  u 2021.g. manja je za 74,9% zbog manjeg broja realiziranih sufinanciranja u odnosu na prethodnu godinu, a veći dio nerealiziranih projekata prenosi se u iduću godinu. O davanju subvencija (odnosno sufinanciranju projekata) odlučuje Radna skupina za provedbu Nacionalnog  programa sigurnosti cestovnog prometa, a isti se financira iz izvora 43 ostali prihodi za posebne namjene. Radi se o projektima vezanim za povećanje sigurnosti prometa na cestama, gdje se sufinancira dio projekata koji su odabrani putem javnog natječaja.</w:t>
                        </w:r>
                      </w:p>
                    </w:tc>
                  </w:tr>
                  <w:tr w:rsidR="00FE60FC" w:rsidRPr="00683EE9" w:rsidTr="00FE60FC">
                    <w:trPr>
                      <w:trHeight w:val="428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AF7704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t>AOP 2</w:t>
                        </w:r>
                        <w:r w:rsidR="00FE60FC" w:rsidRPr="00AF7704">
                          <w:rPr>
                            <w:rFonts w:ascii="Arial" w:hAnsi="Arial" w:cs="Arial"/>
                          </w:rPr>
                          <w:t>1</w:t>
                        </w:r>
                        <w:r w:rsidRPr="00AF7704"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AF7704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EF3075">
                          <w:rPr>
                            <w:rFonts w:ascii="Arial" w:hAnsi="Arial" w:cs="Arial"/>
                          </w:rPr>
                          <w:t>Realizacija subvencija trgovačkim društvima, zadrugama, poljoprivrednicima i obrtnicima iz EU sredstava  u 2021.g. manja je za 33,2% u odnosu na prethodnu godinu, a radi se o projektu kod kojeg realizacija ovisi o dinamici projekta.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AF7704" w:rsidRDefault="00AF770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t>AOP 226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AF7704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74579D">
                          <w:rPr>
                            <w:rFonts w:ascii="Arial" w:hAnsi="Arial" w:cs="Arial"/>
                          </w:rPr>
                          <w:t>Realizacija pomoći unutar općeg proračuna  u 2021.g. manja je za 78% u odnosu na prošlu godinu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Pr="0074579D">
                          <w:rPr>
                            <w:rFonts w:ascii="Arial" w:hAnsi="Arial" w:cs="Arial"/>
                          </w:rPr>
                          <w:t xml:space="preserve"> O iznosu koji se godišnje izdvaja za ovu namjenu donosi se plan na prijedlog radne skupine za Nacionalni program sigurnosti cestovnog prometa te se i ovdje se radi o izvoru financiranja 43 Ostali prihodi za posebne namjene i to iz prihoda po osnovi Nacionalnog programa sigurnosti cestovnog prometa, a odabrani su projekti od </w:t>
                        </w:r>
                        <w:r w:rsidRPr="0074579D">
                          <w:rPr>
                            <w:rFonts w:ascii="Arial" w:hAnsi="Arial" w:cs="Arial"/>
                          </w:rPr>
                          <w:lastRenderedPageBreak/>
                          <w:t xml:space="preserve">najvećeg značenja za povećanje sigurnosti prometa na cestama. </w:t>
                        </w:r>
                        <w:r>
                          <w:rPr>
                            <w:rFonts w:ascii="Arial" w:hAnsi="Arial" w:cs="Arial"/>
                          </w:rPr>
                          <w:t>Obzirom da je Nacionalni plan sigurnosti cestovnog prometa RH za razdoblje 2021.-2030. donesen tek krajem srpnja 2021.g. tako je i Plan potreba NPSCP-a za 2021.g. donesen kasnije (sredina rujna 2021.g.) kao i sporazumi o sufinanciranju sanacija opasnih mjesta za koje će realizacija uslijediti tek u 2022.g. U 2021.g. realizirano je svega nekoliko sporazuma koji su preneseni iz 2020.g.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FE60FC" w:rsidP="00AF7704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lastRenderedPageBreak/>
                          <w:t>AOP 2</w:t>
                        </w:r>
                        <w:r w:rsidR="00AF7704" w:rsidRPr="00AF7704">
                          <w:rPr>
                            <w:rFonts w:ascii="Arial" w:hAnsi="Arial" w:cs="Arial"/>
                          </w:rPr>
                          <w:t>42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41697F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74579D">
                          <w:rPr>
                            <w:rFonts w:ascii="Arial" w:hAnsi="Arial" w:cs="Arial"/>
                          </w:rPr>
                          <w:t xml:space="preserve">Prijenosi između proračunskih korisnika istog proračuna u 2021.g. veći su za 101,8% u odnosu na prethodnu godinu, što se u najvećoj mjeri odnosi na </w:t>
                        </w:r>
                        <w:r w:rsidRPr="0074579D">
                          <w:rPr>
                            <w:rFonts w:ascii="Arial" w:hAnsi="Arial" w:cs="Arial"/>
                            <w:lang w:val="en-US"/>
                          </w:rPr>
                          <w:t>pr</w:t>
                        </w:r>
                        <w:r w:rsidR="0041697F">
                          <w:rPr>
                            <w:rFonts w:ascii="Arial" w:hAnsi="Arial" w:cs="Arial"/>
                            <w:lang w:val="en-US"/>
                          </w:rPr>
                          <w:t>i</w:t>
                        </w:r>
                        <w:r w:rsidRPr="0074579D">
                          <w:rPr>
                            <w:rFonts w:ascii="Arial" w:hAnsi="Arial" w:cs="Arial"/>
                            <w:lang w:val="en-US"/>
                          </w:rPr>
                          <w:t xml:space="preserve">jenos sredstava </w:t>
                        </w:r>
                        <w:r w:rsidRPr="0074579D">
                          <w:rPr>
                            <w:rFonts w:ascii="Arial" w:hAnsi="Arial" w:cs="Arial"/>
                          </w:rPr>
                          <w:t>Ministarstvu mora, prometa i infrastrukture vezano uz suradnju na projektu Nacionalni program sigurnosti cestovnog prometa. Ovdje se radi o izvoru financiranja 43 Ostali prihodi za posebne namjene iz prihoda po osnovi Nacionalnog programa sigurnosti cestovnog prometa.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AF7704" w:rsidP="00AF7704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AF7704">
                          <w:rPr>
                            <w:rFonts w:ascii="Arial" w:hAnsi="Arial" w:cs="Arial"/>
                          </w:rPr>
                          <w:t>AOP 254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AF7704" w:rsidP="00FE60FC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4C4C88">
                          <w:rPr>
                            <w:rFonts w:ascii="Arial" w:hAnsi="Arial" w:cs="Arial"/>
                          </w:rPr>
                          <w:t>Na stavci ostale naknade građanima i kućanstvima iz proračuna u 2021.g. došlo je do povećanja od 4,1% zbog povećane isplate stipendija i školarina djeci poginulih policijskih službenika.</w:t>
                        </w:r>
                      </w:p>
                    </w:tc>
                  </w:tr>
                  <w:tr w:rsidR="00FE60FC" w:rsidRPr="00683EE9" w:rsidTr="00FE60FC">
                    <w:trPr>
                      <w:trHeight w:val="1038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164D75" w:rsidRDefault="00164D75" w:rsidP="00FE60FC">
                        <w:pPr>
                          <w:shd w:val="clear" w:color="auto" w:fill="FFFFFF"/>
                          <w:rPr>
                            <w:rFonts w:ascii="Arial" w:hAnsi="Arial" w:cs="Arial"/>
                          </w:rPr>
                        </w:pPr>
                        <w:r w:rsidRPr="00164D75">
                          <w:rPr>
                            <w:rFonts w:ascii="Arial" w:hAnsi="Arial" w:cs="Arial"/>
                          </w:rPr>
                          <w:t>AOP 259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164D75" w:rsidP="00164D75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4C4C88">
                          <w:rPr>
                            <w:rFonts w:ascii="Arial" w:hAnsi="Arial" w:cs="Arial"/>
                          </w:rPr>
                          <w:t>Tekuće donacije u 2021.g. bilježe povećanje od 27,3% u najvećoj mjeri zbog tekućih donacija iz EU sredstava u okviru realizacije projekta Fond za azil, migracije i integraciju (AMIF) gdje realizacija ovisi o dinamici aktivnosti pojedinih pod projekata u predmetnom projektu. Ostale tekuće donacije odnose se na financiranje projekata i programa udruga i ostalih organizacija civilnog društva iz izvora 11 Opći prihodi i primici kao i preventivnih projekata iz izvora 43 Ostali prihodi i primici u okviru projekta Nacionalni program sigurnosti cestovnog prometa.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rPr>
                      <w:trHeight w:val="1585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541C96" w:rsidRDefault="00541C96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AOP 263</w:t>
                        </w:r>
                      </w:p>
                      <w:p w:rsidR="00FE60FC" w:rsidRPr="00541C96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541C96" w:rsidP="00541C96">
                        <w:pPr>
                          <w:spacing w:line="360" w:lineRule="auto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4D080D">
                          <w:rPr>
                            <w:rFonts w:ascii="Arial" w:hAnsi="Arial" w:cs="Arial"/>
                          </w:rPr>
                          <w:t>Sa stavke kapitalne donacije  u  2021.g.  isplaćena je  donacija Hrvatskoj gorskoj službi spašavanja temeljem preuzete obveze 2019. godine nakon što je Državna uprava za zaštitu i spašavanje pripojena MUP-u te je ista planirana u Državnom proračunu Ministarstva unutarnjih poslova, a osnova za isplatu je sklopljeni ugovor.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541C96" w:rsidRDefault="00541C96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AOP 268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541C96" w:rsidP="00FE60FC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4D080D">
                          <w:rPr>
                            <w:rFonts w:ascii="Arial" w:hAnsi="Arial" w:cs="Arial"/>
                          </w:rPr>
                          <w:t>Realizacija isplata za kazne, penale i naknade šteta  u 2021.g. manja je za 60,8% u odnosu ne prethodnu godinu iz razloga što su s ove pozicije,</w:t>
                        </w:r>
                        <w:r>
                          <w:rPr>
                            <w:rFonts w:ascii="Arial" w:hAnsi="Arial" w:cs="Arial"/>
                          </w:rPr>
                          <w:t xml:space="preserve"> u dogovoru s Ministarstvom fin</w:t>
                        </w:r>
                        <w:r w:rsidRPr="004D080D">
                          <w:rPr>
                            <w:rFonts w:ascii="Arial" w:hAnsi="Arial" w:cs="Arial"/>
                          </w:rPr>
                          <w:t>ancija, prošle godine plaćeni neprihvatljivi troškovi proizašli iz p</w:t>
                        </w:r>
                        <w:r>
                          <w:rPr>
                            <w:rFonts w:ascii="Arial" w:hAnsi="Arial" w:cs="Arial"/>
                          </w:rPr>
                          <w:t>rojekta Schengenski instrument</w:t>
                        </w:r>
                        <w:r w:rsidRPr="004D080D">
                          <w:rPr>
                            <w:rFonts w:ascii="Arial" w:hAnsi="Arial" w:cs="Arial"/>
                          </w:rPr>
                          <w:t xml:space="preserve"> čega u 2021. nije bilo </w:t>
                        </w:r>
                        <w:r>
                          <w:rPr>
                            <w:rFonts w:ascii="Arial" w:hAnsi="Arial" w:cs="Arial"/>
                          </w:rPr>
                          <w:t xml:space="preserve">te je </w:t>
                        </w:r>
                        <w:r w:rsidRPr="004D080D">
                          <w:rPr>
                            <w:rFonts w:ascii="Arial" w:hAnsi="Arial" w:cs="Arial"/>
                          </w:rPr>
                          <w:t>s toga realizacija manja.</w:t>
                        </w:r>
                      </w:p>
                    </w:tc>
                  </w:tr>
                  <w:tr w:rsidR="00FE60FC" w:rsidRPr="00683EE9" w:rsidTr="00FE60FC">
                    <w:trPr>
                      <w:trHeight w:val="1414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541C96" w:rsidP="00FE60FC">
                        <w:pPr>
                          <w:shd w:val="clear" w:color="auto" w:fill="FFFFFF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AOP 35</w:t>
                        </w:r>
                        <w:r w:rsidR="00FE60FC" w:rsidRPr="00541C96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541C96" w:rsidP="00FE60FC">
                        <w:pPr>
                          <w:spacing w:line="360" w:lineRule="auto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Nematerijalna imovina je u odnosu na 20</w:t>
                        </w: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.g. manja je za </w:t>
                        </w: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,5% iz razloga što </w:t>
                        </w:r>
                        <w:r>
                          <w:rPr>
                            <w:rFonts w:ascii="Arial" w:hAnsi="Arial" w:cs="Arial"/>
                          </w:rPr>
                          <w:t>je potreba za nabavom licenci iz ove kategorije bila manja obzirom da većina licenci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potrebnih za poslovanje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ne ulazi u ovu kategoriju već u kategoriju najamnine za licence na uslugama 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683EE9">
                          <w:rPr>
                            <w:rFonts w:ascii="Arial" w:hAnsi="Arial" w:cs="Arial"/>
                          </w:rPr>
                          <w:t>licenc</w:t>
                        </w:r>
                        <w:r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za koje se plaća </w:t>
                        </w:r>
                        <w:r>
                          <w:rPr>
                            <w:rFonts w:ascii="Arial" w:hAnsi="Arial" w:cs="Arial"/>
                          </w:rPr>
                          <w:t>jednogodišnji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najam</w:t>
                        </w:r>
                        <w:r>
                          <w:rPr>
                            <w:rFonts w:ascii="Arial" w:hAnsi="Arial" w:cs="Arial"/>
                          </w:rPr>
                          <w:t>).</w:t>
                        </w:r>
                      </w:p>
                    </w:tc>
                  </w:tr>
                  <w:tr w:rsidR="00FE60FC" w:rsidRPr="00683EE9" w:rsidTr="00FE60FC">
                    <w:trPr>
                      <w:trHeight w:val="1420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541C96" w:rsidRDefault="00541C96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AOP 358</w:t>
                        </w:r>
                        <w:r w:rsidR="00FE60FC" w:rsidRPr="00541C96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541C96" w:rsidP="00FE60FC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507DB8">
                          <w:rPr>
                            <w:rFonts w:ascii="Arial" w:hAnsi="Arial" w:cs="Arial"/>
                          </w:rPr>
                          <w:t>Stavka građevinski objekti veća je za 377,8% u odnosu na prethodnu godinu jer je na ovoj stavci na izvoru financiranja 61 Donacije zavedena donacija stambenih</w:t>
                        </w:r>
                        <w:r>
                          <w:rPr>
                            <w:rFonts w:ascii="Arial" w:hAnsi="Arial" w:cs="Arial"/>
                          </w:rPr>
                          <w:t>, sanitarnih i uredskih</w:t>
                        </w:r>
                        <w:r w:rsidRPr="00507DB8">
                          <w:rPr>
                            <w:rFonts w:ascii="Arial" w:hAnsi="Arial" w:cs="Arial"/>
                          </w:rPr>
                          <w:t xml:space="preserve"> kontejnera za područja pogođena potresom, a koju smo dobili od </w:t>
                        </w:r>
                        <w:r>
                          <w:rPr>
                            <w:rFonts w:ascii="Arial" w:hAnsi="Arial" w:cs="Arial"/>
                          </w:rPr>
                          <w:t>Republike Mađarske</w:t>
                        </w:r>
                        <w:r w:rsidRPr="00507DB8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541C96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AOP 363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541C96" w:rsidP="00541C96">
                        <w:pPr>
                          <w:spacing w:line="360" w:lineRule="auto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Realizacija stavke postrojenja i oprema </w:t>
                        </w:r>
                        <w:r>
                          <w:rPr>
                            <w:rFonts w:ascii="Arial" w:hAnsi="Arial" w:cs="Arial"/>
                          </w:rPr>
                          <w:t>veća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je za </w:t>
                        </w:r>
                        <w:r>
                          <w:rPr>
                            <w:rFonts w:ascii="Arial" w:hAnsi="Arial" w:cs="Arial"/>
                          </w:rPr>
                          <w:t>19,7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% </w:t>
                        </w:r>
                        <w:r>
                          <w:rPr>
                            <w:rFonts w:ascii="Arial" w:hAnsi="Arial" w:cs="Arial"/>
                          </w:rPr>
                          <w:t xml:space="preserve">iz razloga što je u 2020.g. zbog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COVID epidemije </w:t>
                        </w:r>
                        <w:r>
                          <w:rPr>
                            <w:rFonts w:ascii="Arial" w:hAnsi="Arial" w:cs="Arial"/>
                          </w:rPr>
                          <w:t xml:space="preserve">bila </w:t>
                        </w:r>
                        <w:r w:rsidRPr="00683EE9">
                          <w:rPr>
                            <w:rFonts w:ascii="Arial" w:hAnsi="Arial" w:cs="Arial"/>
                          </w:rPr>
                          <w:t>naba</w:t>
                        </w:r>
                        <w:r>
                          <w:rPr>
                            <w:rFonts w:ascii="Arial" w:hAnsi="Arial" w:cs="Arial"/>
                          </w:rPr>
                          <w:t>vljena samo neophodna oprema te je u 2021.g. bilo potrebno nabaviti svu potrebnu opremu kako bi sustav mogao dalje nesmetano funkcionirati. Ovo se prvenstveno odnosi na nabavu potrebne komunikacijske opreme i opreme za održavanje i zaštitu za potrebe osiguranja vanjske granice koja je velikim dijelom nabavljena kroz fondove Europske unije.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541C96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AOP 372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60FC" w:rsidRPr="00FF27A7" w:rsidRDefault="00541C96" w:rsidP="00FE60FC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F62AB7">
                          <w:rPr>
                            <w:rFonts w:ascii="Arial" w:hAnsi="Arial" w:cs="Arial"/>
                          </w:rPr>
                          <w:t xml:space="preserve">Stavka prijevozna sredstva je veća za 250,2% u odnosu na prethodnu godinu najvećim dijelom zbog isporuke vatrogasnih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vozila </w:t>
                        </w:r>
                        <w:r>
                          <w:rPr>
                            <w:rFonts w:ascii="Arial" w:hAnsi="Arial" w:cs="Arial"/>
                          </w:rPr>
                          <w:t xml:space="preserve">čiju je nabavu provodio MUP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kroz </w:t>
                        </w:r>
                        <w:r>
                          <w:rPr>
                            <w:rFonts w:ascii="Arial" w:hAnsi="Arial" w:cs="Arial"/>
                          </w:rPr>
                          <w:t>projekt Modernizacija vatrogasnih vozila, 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koja je započela </w:t>
                        </w:r>
                        <w:r w:rsidRPr="00683EE9">
                          <w:rPr>
                            <w:rFonts w:ascii="Arial" w:hAnsi="Arial" w:cs="Arial"/>
                          </w:rPr>
                          <w:t>u 20</w:t>
                        </w: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.g. </w:t>
                        </w:r>
                        <w:r>
                          <w:rPr>
                            <w:rFonts w:ascii="Arial" w:hAnsi="Arial" w:cs="Arial"/>
                          </w:rPr>
                          <w:t>s isporukom manjeg broja vozila te je u 2021.g. uslijedila isporuka svih preostalih ugovorenih vozila iz čega proizlazi znatno povećanje na ovoj stavci.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541C96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AOP 382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E60FC" w:rsidRPr="00FF27A7" w:rsidRDefault="00541C96" w:rsidP="00541C96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Višegodišnji nasadi i osnovno stado  </w:t>
                        </w:r>
                        <w:r>
                          <w:rPr>
                            <w:rFonts w:ascii="Arial" w:hAnsi="Arial" w:cs="Arial"/>
                          </w:rPr>
                          <w:t>veći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su za </w:t>
                        </w:r>
                        <w:r>
                          <w:rPr>
                            <w:rFonts w:ascii="Arial" w:hAnsi="Arial" w:cs="Arial"/>
                          </w:rPr>
                          <w:t>39,9</w:t>
                        </w:r>
                        <w:r w:rsidRPr="00683EE9">
                          <w:rPr>
                            <w:rFonts w:ascii="Arial" w:hAnsi="Arial" w:cs="Arial"/>
                          </w:rPr>
                          <w:t>% u odnosu na 20</w:t>
                        </w: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.g. </w:t>
                        </w:r>
                        <w:r>
                          <w:rPr>
                            <w:rFonts w:ascii="Arial" w:hAnsi="Arial" w:cs="Arial"/>
                          </w:rPr>
                          <w:t xml:space="preserve">iz razloga što je nabava pasa bila prolongirana za 2021.g. obzirom da je u 2020.g.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zbog epidemije COVID </w:t>
                        </w:r>
                        <w:r>
                          <w:rPr>
                            <w:rFonts w:ascii="Arial" w:hAnsi="Arial" w:cs="Arial"/>
                          </w:rPr>
                          <w:t>bila provedena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nabav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samo nužne količine pasa.</w:t>
                        </w:r>
                        <w:r>
                          <w:rPr>
                            <w:rFonts w:ascii="Arial" w:hAnsi="Arial" w:cs="Arial"/>
                            <w:color w:val="5B9BD5" w:themeColor="accent1"/>
                          </w:rPr>
                          <w:t xml:space="preserve"> </w:t>
                        </w:r>
                      </w:p>
                    </w:tc>
                  </w:tr>
                  <w:tr w:rsidR="00541C96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1C96" w:rsidRPr="00541C96" w:rsidRDefault="00541C96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385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C96" w:rsidRDefault="00541C96" w:rsidP="00541C96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Nematerijalna proizvedena imovina  </w:t>
                        </w:r>
                        <w:r>
                          <w:rPr>
                            <w:rFonts w:ascii="Arial" w:hAnsi="Arial" w:cs="Arial"/>
                          </w:rPr>
                          <w:t>veća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je za </w:t>
                        </w:r>
                        <w:r>
                          <w:rPr>
                            <w:rFonts w:ascii="Arial" w:hAnsi="Arial" w:cs="Arial"/>
                          </w:rPr>
                          <w:t>13,9</w:t>
                        </w:r>
                        <w:r w:rsidRPr="00683EE9">
                          <w:rPr>
                            <w:rFonts w:ascii="Arial" w:hAnsi="Arial" w:cs="Arial"/>
                          </w:rPr>
                          <w:t>% u odnosu na 20</w:t>
                        </w: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.god. </w:t>
                        </w:r>
                        <w:r>
                          <w:rPr>
                            <w:rFonts w:ascii="Arial" w:hAnsi="Arial" w:cs="Arial"/>
                          </w:rPr>
                          <w:t xml:space="preserve">također iz razloga odgode nabave u 2020.g.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zbog COVID epidemije </w:t>
                        </w:r>
                        <w:r>
                          <w:rPr>
                            <w:rFonts w:ascii="Arial" w:hAnsi="Arial" w:cs="Arial"/>
                          </w:rPr>
                          <w:t xml:space="preserve">te su u 2021.g. nabavljeni potrebni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računalni programi </w:t>
                        </w:r>
                        <w:r>
                          <w:rPr>
                            <w:rFonts w:ascii="Arial" w:hAnsi="Arial" w:cs="Arial"/>
                          </w:rPr>
                          <w:t>kako bi sustav mogao neometano funkcionirati.</w:t>
                        </w:r>
                      </w:p>
                    </w:tc>
                  </w:tr>
                  <w:tr w:rsidR="00541C96" w:rsidRPr="00683EE9" w:rsidTr="00FE60FC"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1C96" w:rsidRDefault="00541C96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AOP 397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C96" w:rsidRPr="00683EE9" w:rsidRDefault="00541C96" w:rsidP="00541C96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Dodatna ulaganja na građevinskim objektima  u 202</w:t>
                        </w: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.g. </w:t>
                        </w:r>
                        <w:r>
                          <w:rPr>
                            <w:rFonts w:ascii="Arial" w:hAnsi="Arial" w:cs="Arial"/>
                          </w:rPr>
                          <w:t>manja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su za </w:t>
                        </w:r>
                        <w:r>
                          <w:rPr>
                            <w:rFonts w:ascii="Arial" w:hAnsi="Arial" w:cs="Arial"/>
                          </w:rPr>
                          <w:t>76,7</w:t>
                        </w:r>
                        <w:r w:rsidRPr="00683EE9">
                          <w:rPr>
                            <w:rFonts w:ascii="Arial" w:hAnsi="Arial" w:cs="Arial"/>
                          </w:rPr>
                          <w:t>% u odnosu na prošlu godinu iz razloga što su u 20</w:t>
                        </w: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.g. </w:t>
                        </w:r>
                        <w:r>
                          <w:rPr>
                            <w:rFonts w:ascii="Arial" w:hAnsi="Arial" w:cs="Arial"/>
                          </w:rPr>
                          <w:t>završene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energetske </w:t>
                        </w:r>
                        <w:r>
                          <w:rPr>
                            <w:rFonts w:ascii="Arial" w:hAnsi="Arial" w:cs="Arial"/>
                          </w:rPr>
                          <w:t xml:space="preserve">obnove velikog broja </w:t>
                        </w:r>
                        <w:r w:rsidRPr="00683EE9">
                          <w:rPr>
                            <w:rFonts w:ascii="Arial" w:hAnsi="Arial" w:cs="Arial"/>
                          </w:rPr>
                          <w:t>objek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ta </w:t>
                        </w:r>
                        <w:r>
                          <w:rPr>
                            <w:rFonts w:ascii="Arial" w:hAnsi="Arial" w:cs="Arial"/>
                          </w:rPr>
                          <w:t>dok je u 2021.g. financiran još jedan manji dio.</w:t>
                        </w:r>
                      </w:p>
                    </w:tc>
                  </w:tr>
                  <w:tr w:rsidR="00FE60FC" w:rsidRPr="00683EE9" w:rsidTr="00FE60FC">
                    <w:trPr>
                      <w:trHeight w:val="1707"/>
                    </w:trPr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F27A7" w:rsidRDefault="00FE60FC" w:rsidP="00FE60FC">
                        <w:pPr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541C96">
                          <w:rPr>
                            <w:rFonts w:ascii="Arial" w:hAnsi="Arial" w:cs="Arial"/>
                          </w:rPr>
                          <w:t>AO</w:t>
                        </w:r>
                        <w:r w:rsidR="00541C96" w:rsidRPr="00541C96">
                          <w:rPr>
                            <w:rFonts w:ascii="Arial" w:hAnsi="Arial" w:cs="Arial"/>
                          </w:rPr>
                          <w:t>P 605</w:t>
                        </w:r>
                      </w:p>
                    </w:tc>
                    <w:tc>
                      <w:tcPr>
                        <w:tcW w:w="8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F27A7" w:rsidRDefault="00541C96" w:rsidP="007E1233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5B9BD5" w:themeColor="accent1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Stavka otplata glavnice primljenih zajmova od trgovačkih društava i obrtnika izvan javnog sektora  </w:t>
                        </w:r>
                        <w:r>
                          <w:rPr>
                            <w:rFonts w:ascii="Arial" w:hAnsi="Arial" w:cs="Arial"/>
                          </w:rPr>
                          <w:t>manja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je za </w:t>
                        </w:r>
                        <w:r>
                          <w:rPr>
                            <w:rFonts w:ascii="Arial" w:hAnsi="Arial" w:cs="Arial"/>
                          </w:rPr>
                          <w:t>43,4</w:t>
                        </w:r>
                        <w:r w:rsidRPr="00683EE9">
                          <w:rPr>
                            <w:rFonts w:ascii="Arial" w:hAnsi="Arial" w:cs="Arial"/>
                          </w:rPr>
                          <w:t>% u odnosu na prošlu godinu. Na predmetnoj stavci evidentira se ro</w:t>
                        </w:r>
                        <w:r>
                          <w:rPr>
                            <w:rFonts w:ascii="Arial" w:hAnsi="Arial" w:cs="Arial"/>
                          </w:rPr>
                          <w:t>bni kredit za mobitele i vozila</w:t>
                        </w:r>
                        <w:r w:rsidR="007E1233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7E1233">
                          <w:rPr>
                            <w:rFonts w:ascii="Arial" w:hAnsi="Arial" w:cs="Arial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</w:rPr>
                          <w:t xml:space="preserve">zvršenje je </w:t>
                        </w:r>
                        <w:r w:rsidR="007E1233">
                          <w:rPr>
                            <w:rFonts w:ascii="Arial" w:hAnsi="Arial" w:cs="Arial"/>
                          </w:rPr>
                          <w:t xml:space="preserve">u 2021. godini </w:t>
                        </w:r>
                        <w:r>
                          <w:rPr>
                            <w:rFonts w:ascii="Arial" w:hAnsi="Arial" w:cs="Arial"/>
                          </w:rPr>
                          <w:t xml:space="preserve">manje jer je </w:t>
                        </w:r>
                        <w:r w:rsidR="007E1233">
                          <w:rPr>
                            <w:rFonts w:ascii="Arial" w:hAnsi="Arial" w:cs="Arial"/>
                          </w:rPr>
                          <w:t>ostalo za otplatu jedan manji dio nabavljenih mobitela koji su u navedenoj godini o</w:t>
                        </w:r>
                        <w:r>
                          <w:rPr>
                            <w:rFonts w:ascii="Arial" w:hAnsi="Arial" w:cs="Arial"/>
                          </w:rPr>
                          <w:t>tplaćen</w:t>
                        </w:r>
                        <w:r w:rsidR="007E1233">
                          <w:rPr>
                            <w:rFonts w:ascii="Arial" w:hAnsi="Arial" w:cs="Arial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</w:rPr>
                          <w:t>u</w:t>
                        </w:r>
                        <w:r w:rsidR="007E1233">
                          <w:rPr>
                            <w:rFonts w:ascii="Arial" w:hAnsi="Arial" w:cs="Arial"/>
                          </w:rPr>
                          <w:t xml:space="preserve"> cijelosti.</w:t>
                        </w:r>
                      </w:p>
                    </w:tc>
                  </w:tr>
                </w:tbl>
                <w:p w:rsidR="00FE60FC" w:rsidRDefault="00FE60FC" w:rsidP="00FE60FC">
                  <w:pPr>
                    <w:tabs>
                      <w:tab w:val="left" w:pos="9528"/>
                    </w:tabs>
                    <w:ind w:right="2442"/>
                    <w:jc w:val="center"/>
                    <w:rPr>
                      <w:rFonts w:ascii="Arial" w:hAnsi="Arial" w:cs="Arial"/>
                    </w:rPr>
                  </w:pPr>
                </w:p>
                <w:p w:rsidR="006E4545" w:rsidRPr="00683EE9" w:rsidRDefault="006E4545" w:rsidP="00FE60FC">
                  <w:pPr>
                    <w:tabs>
                      <w:tab w:val="left" w:pos="9528"/>
                    </w:tabs>
                    <w:ind w:right="2442"/>
                    <w:jc w:val="center"/>
                    <w:rPr>
                      <w:rFonts w:ascii="Arial" w:hAnsi="Arial" w:cs="Arial"/>
                    </w:rPr>
                  </w:pPr>
                </w:p>
                <w:p w:rsidR="00FE60FC" w:rsidRPr="00683EE9" w:rsidRDefault="00FE60FC" w:rsidP="005E7F4B">
                  <w:pPr>
                    <w:tabs>
                      <w:tab w:val="left" w:pos="9528"/>
                    </w:tabs>
                    <w:spacing w:after="0"/>
                    <w:ind w:right="2442"/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 xml:space="preserve">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      </w:t>
                  </w:r>
                  <w:r w:rsidRPr="00683EE9">
                    <w:rPr>
                      <w:rFonts w:ascii="Arial" w:hAnsi="Arial" w:cs="Arial"/>
                      <w:b/>
                    </w:rPr>
                    <w:t xml:space="preserve">    BILJEŠKE UZ BILANCU</w:t>
                  </w:r>
                </w:p>
                <w:p w:rsidR="00FE60FC" w:rsidRPr="00683EE9" w:rsidRDefault="00FE60FC" w:rsidP="00FE60FC">
                  <w:pPr>
                    <w:tabs>
                      <w:tab w:val="left" w:pos="9243"/>
                      <w:tab w:val="left" w:pos="9528"/>
                    </w:tabs>
                    <w:ind w:right="2442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  <w:tbl>
                  <w:tblPr>
                    <w:tblW w:w="97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82"/>
                    <w:gridCol w:w="193"/>
                    <w:gridCol w:w="8897"/>
                    <w:gridCol w:w="14"/>
                  </w:tblGrid>
                  <w:tr w:rsidR="00FE60FC" w:rsidRPr="00683EE9" w:rsidTr="0081227E">
                    <w:trPr>
                      <w:gridAfter w:val="1"/>
                      <w:wAfter w:w="7" w:type="pct"/>
                      <w:trHeight w:val="1663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81227E" w:rsidRDefault="00FE60FC" w:rsidP="00FE60FC">
                        <w:pPr>
                          <w:ind w:right="192"/>
                          <w:rPr>
                            <w:rFonts w:ascii="Arial" w:hAnsi="Arial" w:cs="Arial"/>
                          </w:rPr>
                        </w:pPr>
                        <w:r w:rsidRPr="0081227E">
                          <w:rPr>
                            <w:rFonts w:ascii="Arial" w:hAnsi="Arial" w:cs="Arial"/>
                          </w:rPr>
                          <w:t>AOP 004</w:t>
                        </w:r>
                      </w:p>
                      <w:p w:rsidR="00FE60FC" w:rsidRPr="0081227E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81227E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FE60FC" w:rsidRPr="0081227E" w:rsidRDefault="0081227E" w:rsidP="00C67E13">
                        <w:pPr>
                          <w:spacing w:after="0" w:line="360" w:lineRule="auto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81227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 kontu materijalne imovine građevinskog zemljišta dolazi do povećanja nabavne vrijednosti u iznosu od 100.745 kn, a odnosi se na donaciju Općine Delnice prema PP Delnice i povećanje uređenja zemljišta streljane Bosna, Vrbovec.</w:t>
                        </w:r>
                      </w:p>
                    </w:tc>
                  </w:tr>
                  <w:tr w:rsidR="0081227E" w:rsidRPr="0081227E" w:rsidTr="0081227E">
                    <w:trPr>
                      <w:gridAfter w:val="1"/>
                      <w:wAfter w:w="7" w:type="pct"/>
                      <w:trHeight w:val="1479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81227E" w:rsidRDefault="00FE60FC" w:rsidP="00FE60FC">
                        <w:pPr>
                          <w:ind w:right="192"/>
                          <w:rPr>
                            <w:rFonts w:ascii="Arial" w:hAnsi="Arial" w:cs="Arial"/>
                          </w:rPr>
                        </w:pPr>
                        <w:r w:rsidRPr="0081227E">
                          <w:rPr>
                            <w:rFonts w:ascii="Arial" w:hAnsi="Arial" w:cs="Arial"/>
                          </w:rPr>
                          <w:t>AOP 005</w:t>
                        </w:r>
                      </w:p>
                      <w:p w:rsidR="00FE60FC" w:rsidRPr="0081227E" w:rsidRDefault="00FE60FC" w:rsidP="00FE60FC">
                        <w:pPr>
                          <w:ind w:right="192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81227E" w:rsidRPr="0081227E" w:rsidRDefault="0081227E" w:rsidP="0081227E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81227E">
                          <w:rPr>
                            <w:rFonts w:ascii="Arial" w:hAnsi="Arial" w:cs="Arial"/>
                          </w:rPr>
                          <w:t>Povećanje vrijednosti licenci rezultat je kupnje istih u iznosu od 480.000 kn, kao i nadogradnje sustava MUP-a RH.</w:t>
                        </w:r>
                      </w:p>
                      <w:p w:rsidR="00FE60FC" w:rsidRPr="0081227E" w:rsidRDefault="0081227E" w:rsidP="00FE60FC">
                        <w:pPr>
                          <w:spacing w:after="0" w:line="360" w:lineRule="auto"/>
                          <w:jc w:val="both"/>
                        </w:pPr>
                        <w:r w:rsidRPr="0081227E">
                          <w:rPr>
                            <w:rFonts w:ascii="Arial" w:hAnsi="Arial" w:cs="Arial"/>
                          </w:rPr>
                          <w:t>Na kontu smanjenja licenci u iznosu od 28.595 kn odnosi se na rashod, odnosno isknjiženja Odlukom o rashodu.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81227E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81227E">
                          <w:rPr>
                            <w:rFonts w:ascii="Arial" w:hAnsi="Arial" w:cs="Arial"/>
                          </w:rPr>
                          <w:t>AOP 009</w:t>
                        </w:r>
                      </w:p>
                      <w:p w:rsidR="00FE60FC" w:rsidRPr="0081227E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81227E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81227E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FE60FC" w:rsidRPr="0081227E" w:rsidRDefault="0081227E" w:rsidP="00E7466B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81227E">
                          <w:rPr>
                            <w:rFonts w:ascii="Arial" w:hAnsi="Arial" w:cs="Arial"/>
                          </w:rPr>
                          <w:t>Povećanje vrijednosti od cca 24</w:t>
                        </w:r>
                        <w:r w:rsidR="00C67E13">
                          <w:rPr>
                            <w:rFonts w:ascii="Arial" w:hAnsi="Arial" w:cs="Arial"/>
                          </w:rPr>
                          <w:t>,</w:t>
                        </w:r>
                        <w:r w:rsidRPr="0081227E">
                          <w:rPr>
                            <w:rFonts w:ascii="Arial" w:hAnsi="Arial" w:cs="Arial"/>
                          </w:rPr>
                          <w:t>0 mil. kn rezultat je uknjiženja ostalih stambenih objekata (stambeni i sanitarni kontejneri) za potresom pogođena područja, adaptacija IV. paviljona PA, te raznih izvedenih radova (sanacija krovišta stacionara Kruge, PU zagrebačka),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1227E">
                          <w:rPr>
                            <w:rFonts w:ascii="Arial" w:hAnsi="Arial" w:cs="Arial"/>
                          </w:rPr>
                          <w:t xml:space="preserve">projekata i nadzora. </w:t>
                        </w:r>
                        <w:r w:rsidRPr="0081227E">
                          <w:rPr>
                            <w:rFonts w:ascii="Arial" w:hAnsi="Arial" w:cs="Arial"/>
                          </w:rPr>
                          <w:br/>
                        </w:r>
                        <w:r w:rsidRPr="0081227E">
                          <w:rPr>
                            <w:rFonts w:ascii="Arial" w:eastAsia="Times New Roman" w:hAnsi="Arial" w:cs="Arial"/>
                          </w:rPr>
                          <w:t>Smanjenje vrijednosti od cca. 1</w:t>
                        </w:r>
                        <w:r w:rsidR="00E7466B">
                          <w:rPr>
                            <w:rFonts w:ascii="Arial" w:eastAsia="Times New Roman" w:hAnsi="Arial" w:cs="Arial"/>
                          </w:rPr>
                          <w:t>,</w:t>
                        </w:r>
                        <w:r w:rsidRPr="0081227E">
                          <w:rPr>
                            <w:rFonts w:ascii="Arial" w:eastAsia="Times New Roman" w:hAnsi="Arial" w:cs="Arial"/>
                          </w:rPr>
                          <w:t>6</w:t>
                        </w:r>
                        <w:r w:rsidR="00E7466B">
                          <w:rPr>
                            <w:rFonts w:ascii="Arial" w:eastAsia="Times New Roman" w:hAnsi="Arial" w:cs="Arial"/>
                          </w:rPr>
                          <w:t xml:space="preserve"> mil.</w:t>
                        </w:r>
                        <w:r w:rsidRPr="0081227E">
                          <w:rPr>
                            <w:rFonts w:ascii="Arial" w:eastAsia="Times New Roman" w:hAnsi="Arial" w:cs="Arial"/>
                          </w:rPr>
                          <w:t xml:space="preserve">kn stambenih objekata rezultat je ustupanja po sporazumu Hrvatskoj vatrogasnoj zajednici.  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3066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0D7823" w:rsidRDefault="00FE60FC" w:rsidP="00FE60FC">
                        <w:pPr>
                          <w:jc w:val="both"/>
                          <w:rPr>
                            <w:rFonts w:ascii="Arial" w:hAnsi="Arial" w:cs="Arial"/>
                            <w:color w:val="70AD47" w:themeColor="accent6"/>
                          </w:rPr>
                        </w:pPr>
                        <w:r w:rsidRPr="00377A5B">
                          <w:rPr>
                            <w:rFonts w:ascii="Arial" w:hAnsi="Arial" w:cs="Arial"/>
                          </w:rPr>
                          <w:t>AOP 010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377A5B" w:rsidRPr="00377A5B" w:rsidRDefault="00377A5B" w:rsidP="00377A5B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7A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Rezultat povećanja vrijednosti poslovnih obj</w:t>
                        </w:r>
                        <w:r w:rsidR="00AE4AF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ekata u iznosu od cca. 18 mil. k</w:t>
                        </w:r>
                        <w:r w:rsidRPr="00377A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n odnosi se na povećanje vrijednosti koje su rezultat održavanja, obnove, energetske obnove, izrade razne projektne dokumentacije i drugih investicijskih održavanja zgrada. </w:t>
                        </w:r>
                        <w:r w:rsidR="00AE4AF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</w:t>
                        </w:r>
                        <w:r w:rsidR="00AE4AFF" w:rsidRPr="00377A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 zgrade Ministarstva u sjedištu odnosi se </w:t>
                        </w:r>
                        <w:r w:rsidRPr="00377A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17.5 mil. </w:t>
                        </w:r>
                        <w:r w:rsidR="00AE4AF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</w:t>
                        </w:r>
                        <w:r w:rsidRPr="00377A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n, a preostali dio na policijske uprave. </w:t>
                        </w:r>
                      </w:p>
                      <w:p w:rsidR="00FE60FC" w:rsidRPr="000D7823" w:rsidRDefault="00377A5B" w:rsidP="00AE4AFF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color w:val="70AD47" w:themeColor="accent6"/>
                          </w:rPr>
                        </w:pPr>
                        <w:r w:rsidRPr="00377A5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Rezultat smanjenja vrijednosti poslovnih objekata u iznosu od cca 99 mil.kn odnosi se na ustupanje zgrada sporazumom Hrvatskoj vatrogasnoj  zajednici i ustupanja poslovnih objekata PU karlovačke i PU osječko-baranjske.</w:t>
                        </w:r>
                      </w:p>
                    </w:tc>
                  </w:tr>
                  <w:tr w:rsidR="00FE60FC" w:rsidRPr="00683EE9" w:rsidTr="00910EF9">
                    <w:trPr>
                      <w:gridAfter w:val="1"/>
                      <w:wAfter w:w="7" w:type="pct"/>
                      <w:trHeight w:val="1359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910EF9" w:rsidRDefault="00910EF9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910EF9">
                          <w:rPr>
                            <w:rFonts w:ascii="Arial" w:hAnsi="Arial" w:cs="Arial"/>
                          </w:rPr>
                          <w:t>AOP 014</w:t>
                        </w:r>
                      </w:p>
                      <w:p w:rsidR="00FE60FC" w:rsidRPr="000D7823" w:rsidRDefault="00FE60FC" w:rsidP="00FE60FC">
                        <w:pPr>
                          <w:rPr>
                            <w:rFonts w:ascii="Arial" w:hAnsi="Arial" w:cs="Arial"/>
                            <w:color w:val="70AD47" w:themeColor="accent6"/>
                            <w:sz w:val="16"/>
                            <w:szCs w:val="16"/>
                          </w:rPr>
                        </w:pPr>
                      </w:p>
                      <w:p w:rsidR="00FE60FC" w:rsidRPr="000D7823" w:rsidRDefault="00FE60FC" w:rsidP="00FE60FC">
                        <w:pPr>
                          <w:rPr>
                            <w:rFonts w:ascii="Arial" w:hAnsi="Arial" w:cs="Arial"/>
                            <w:color w:val="70AD47" w:themeColor="accent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FE60FC" w:rsidRPr="00910EF9" w:rsidRDefault="00910EF9" w:rsidP="006E11BD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BC6A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Povećanje vrijednosti od cca </w:t>
                        </w:r>
                        <w:r w:rsidR="006E11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23</w:t>
                        </w:r>
                        <w:r w:rsidRPr="00BC6A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="006E11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850</w:t>
                        </w:r>
                        <w:r w:rsidRPr="00BC6AD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kn rezultat je uređenja pristaništa u Staroj Gradiški (PU požeško-slavonska),  pristaništa Jasenovac – ponton (PU sisačko- moslavačke), te pregled kapelice na PA nakon potresa.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1697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BC6ADE" w:rsidRDefault="00BC6ADE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BC6ADE">
                          <w:rPr>
                            <w:rFonts w:ascii="Arial" w:hAnsi="Arial" w:cs="Arial"/>
                          </w:rPr>
                          <w:t>AOP 015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BC6ADE" w:rsidRDefault="00BC6ADE" w:rsidP="00BC6ADE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C6ADE">
                          <w:rPr>
                            <w:rFonts w:ascii="Arial" w:hAnsi="Arial" w:cs="Arial"/>
                          </w:rPr>
                          <w:t>Povećanje u vrijednosti od cca 52 mil.</w:t>
                        </w:r>
                        <w:r w:rsidR="0051172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C6ADE">
                          <w:rPr>
                            <w:rFonts w:ascii="Arial" w:hAnsi="Arial" w:cs="Arial"/>
                          </w:rPr>
                          <w:t xml:space="preserve">kn rezultat je uknjiženja uredskog namještaja i ostale uredske opreme. </w:t>
                        </w:r>
                      </w:p>
                      <w:p w:rsidR="000A34B1" w:rsidRPr="00BC6ADE" w:rsidRDefault="000A34B1" w:rsidP="00BC6ADE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Iz EU fondova financirano je računala </w:t>
                        </w:r>
                        <w:r w:rsidR="00EC08E7">
                          <w:rPr>
                            <w:rFonts w:ascii="Arial" w:hAnsi="Arial" w:cs="Arial"/>
                          </w:rPr>
                          <w:t>(cca 7,</w:t>
                        </w:r>
                        <w:r w:rsidR="00D2221F">
                          <w:rPr>
                            <w:rFonts w:ascii="Arial" w:hAnsi="Arial" w:cs="Arial"/>
                          </w:rPr>
                          <w:t>9</w:t>
                        </w:r>
                        <w:r w:rsidR="00EC08E7">
                          <w:rPr>
                            <w:rFonts w:ascii="Arial" w:hAnsi="Arial" w:cs="Arial"/>
                          </w:rPr>
                          <w:t xml:space="preserve"> mil.kn) kao i sustav za izdavanje digitalnih zelenih potvrda (</w:t>
                        </w:r>
                        <w:r>
                          <w:rPr>
                            <w:rFonts w:ascii="Arial" w:hAnsi="Arial" w:cs="Arial"/>
                          </w:rPr>
                          <w:t xml:space="preserve">cca </w:t>
                        </w:r>
                        <w:r w:rsidR="00EC08E7">
                          <w:rPr>
                            <w:rFonts w:ascii="Arial" w:hAnsi="Arial" w:cs="Arial"/>
                          </w:rPr>
                          <w:t>5,8</w:t>
                        </w:r>
                        <w:r>
                          <w:rPr>
                            <w:rFonts w:ascii="Arial" w:hAnsi="Arial" w:cs="Arial"/>
                          </w:rPr>
                          <w:t xml:space="preserve"> mil. kn</w:t>
                        </w:r>
                        <w:r w:rsidR="00EC08E7">
                          <w:rPr>
                            <w:rFonts w:ascii="Arial" w:hAnsi="Arial" w:cs="Arial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</w:rPr>
                          <w:t xml:space="preserve"> te uredskog namještaja (stolica, ormara i dr.) u iznosu od cca 115,0 tis.kn.</w:t>
                        </w:r>
                      </w:p>
                      <w:p w:rsidR="00FE60FC" w:rsidRPr="000D7823" w:rsidRDefault="00BC6ADE" w:rsidP="001D44BD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70AD47" w:themeColor="accent6"/>
                          </w:rPr>
                        </w:pPr>
                        <w:r w:rsidRPr="00BC6ADE">
                          <w:rPr>
                            <w:rFonts w:ascii="Arial" w:hAnsi="Arial" w:cs="Arial"/>
                          </w:rPr>
                          <w:t>Smanjenje vrijednosti od cca 2</w:t>
                        </w:r>
                        <w:r w:rsidR="001D44BD">
                          <w:rPr>
                            <w:rFonts w:ascii="Arial" w:hAnsi="Arial" w:cs="Arial"/>
                          </w:rPr>
                          <w:t>8,9</w:t>
                        </w:r>
                        <w:r w:rsidRPr="00BC6ADE">
                          <w:rPr>
                            <w:rFonts w:ascii="Arial" w:hAnsi="Arial" w:cs="Arial"/>
                          </w:rPr>
                          <w:t xml:space="preserve"> mil. kn rezultat je isknjiženja kroz rashod uredskog namještaja i ostale uredske opreme temeljem Odluka o rashodu kao i pratećim listama o ekološkom zbrinjavanju, te ustupanja HVZ-u.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842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511727" w:rsidRDefault="00511727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511727">
                          <w:rPr>
                            <w:rFonts w:ascii="Arial" w:hAnsi="Arial" w:cs="Arial"/>
                          </w:rPr>
                          <w:t>AOP 016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511727" w:rsidRPr="00511727" w:rsidRDefault="00511727" w:rsidP="00511727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11727">
                          <w:rPr>
                            <w:rFonts w:ascii="Arial" w:hAnsi="Arial" w:cs="Arial"/>
                          </w:rPr>
                          <w:t>Povećanje vrijednosti od cca 3</w:t>
                        </w:r>
                        <w:r w:rsidR="006A7BAA">
                          <w:rPr>
                            <w:rFonts w:ascii="Arial" w:hAnsi="Arial" w:cs="Arial"/>
                          </w:rPr>
                          <w:t>1,8</w:t>
                        </w:r>
                        <w:r w:rsidRPr="00511727">
                          <w:rPr>
                            <w:rFonts w:ascii="Arial" w:hAnsi="Arial" w:cs="Arial"/>
                          </w:rPr>
                          <w:t xml:space="preserve"> mil. kn rezultat je nabave novih komunikacijskih uređaja (mobiteli i druga sredstva veze). </w:t>
                        </w:r>
                      </w:p>
                      <w:p w:rsidR="00FE60FC" w:rsidRPr="00511727" w:rsidRDefault="00511727" w:rsidP="006A7BAA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11727">
                          <w:rPr>
                            <w:rFonts w:ascii="Arial" w:hAnsi="Arial" w:cs="Arial"/>
                          </w:rPr>
                          <w:t>Smanjenje vrijednosti  od cca 1</w:t>
                        </w:r>
                        <w:r w:rsidR="006A7BAA">
                          <w:rPr>
                            <w:rFonts w:ascii="Arial" w:hAnsi="Arial" w:cs="Arial"/>
                          </w:rPr>
                          <w:t>8</w:t>
                        </w:r>
                        <w:r w:rsidRPr="00511727">
                          <w:rPr>
                            <w:rFonts w:ascii="Arial" w:hAnsi="Arial" w:cs="Arial"/>
                          </w:rPr>
                          <w:t xml:space="preserve"> mil. kn rezultat je rashoda i ustupanja opreme</w:t>
                        </w:r>
                        <w:r w:rsidR="00ED23C7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ED23C7" w:rsidRDefault="00ED23C7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ED23C7">
                          <w:rPr>
                            <w:rFonts w:ascii="Arial" w:hAnsi="Arial" w:cs="Arial"/>
                          </w:rPr>
                          <w:t>AOP 017</w:t>
                        </w:r>
                      </w:p>
                      <w:p w:rsidR="00FE60FC" w:rsidRPr="00ED23C7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ED23C7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ED23C7" w:rsidRPr="00ED23C7" w:rsidRDefault="00ED23C7" w:rsidP="00ED23C7">
                        <w:p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D23C7">
                          <w:rPr>
                            <w:rFonts w:ascii="Arial" w:hAnsi="Arial" w:cs="Arial"/>
                          </w:rPr>
                          <w:t xml:space="preserve">Povećanje vrijednosti od cca </w:t>
                        </w:r>
                        <w:r w:rsidR="002C2277">
                          <w:rPr>
                            <w:rFonts w:ascii="Arial" w:hAnsi="Arial" w:cs="Arial"/>
                          </w:rPr>
                          <w:t>20,2</w:t>
                        </w:r>
                        <w:r w:rsidRPr="00ED23C7">
                          <w:rPr>
                            <w:rFonts w:ascii="Arial" w:hAnsi="Arial" w:cs="Arial"/>
                          </w:rPr>
                          <w:t xml:space="preserve"> mil. kn rezultat je nabave nove opreme za grijanje i ventilacije, te policijske opreme nabavljene iz EU fondova (bespilotne letjelice, detektori, RTG uređaji, isl.).</w:t>
                        </w:r>
                      </w:p>
                      <w:p w:rsidR="00FE60FC" w:rsidRPr="00ED23C7" w:rsidRDefault="00ED23C7" w:rsidP="002C2277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D23C7">
                          <w:rPr>
                            <w:rFonts w:ascii="Arial" w:hAnsi="Arial" w:cs="Arial"/>
                          </w:rPr>
                          <w:t>S</w:t>
                        </w:r>
                        <w:r w:rsidR="00A524DD">
                          <w:rPr>
                            <w:rFonts w:ascii="Arial" w:hAnsi="Arial" w:cs="Arial"/>
                          </w:rPr>
                          <w:t xml:space="preserve">manjenje vrijednosti od </w:t>
                        </w:r>
                        <w:r w:rsidR="002C2277">
                          <w:rPr>
                            <w:rFonts w:ascii="Arial" w:hAnsi="Arial" w:cs="Arial"/>
                          </w:rPr>
                          <w:t>7,6</w:t>
                        </w:r>
                        <w:r w:rsidR="00A524DD">
                          <w:rPr>
                            <w:rFonts w:ascii="Arial" w:hAnsi="Arial" w:cs="Arial"/>
                          </w:rPr>
                          <w:t xml:space="preserve"> mil. k</w:t>
                        </w:r>
                        <w:r w:rsidRPr="00ED23C7">
                          <w:rPr>
                            <w:rFonts w:ascii="Arial" w:hAnsi="Arial" w:cs="Arial"/>
                          </w:rPr>
                          <w:t>n rezultat je ustupanja opreme HVZ-u.</w:t>
                        </w:r>
                      </w:p>
                    </w:tc>
                  </w:tr>
                  <w:tr w:rsidR="00B6775E" w:rsidRPr="00B6775E" w:rsidTr="00FE60FC">
                    <w:trPr>
                      <w:gridAfter w:val="1"/>
                      <w:wAfter w:w="7" w:type="pct"/>
                      <w:trHeight w:val="980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B6775E" w:rsidRDefault="00B6775E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B6775E">
                          <w:rPr>
                            <w:rFonts w:ascii="Arial" w:hAnsi="Arial" w:cs="Arial"/>
                          </w:rPr>
                          <w:lastRenderedPageBreak/>
                          <w:t>AOP 018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B6775E" w:rsidRPr="00B6775E" w:rsidRDefault="00B6775E" w:rsidP="00B6775E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6775E">
                          <w:rPr>
                            <w:rFonts w:ascii="Arial" w:hAnsi="Arial" w:cs="Arial"/>
                          </w:rPr>
                          <w:t>Rezultat povećanja vrijednost</w:t>
                        </w:r>
                        <w:r w:rsidR="00A524DD">
                          <w:rPr>
                            <w:rFonts w:ascii="Arial" w:hAnsi="Arial" w:cs="Arial"/>
                          </w:rPr>
                          <w:t>i u iznosu cca 4,</w:t>
                        </w:r>
                        <w:r w:rsidRPr="00B6775E">
                          <w:rPr>
                            <w:rFonts w:ascii="Arial" w:hAnsi="Arial" w:cs="Arial"/>
                          </w:rPr>
                          <w:t>2 mil. kn odnosi se na kupnju nove opreme.</w:t>
                        </w:r>
                      </w:p>
                      <w:p w:rsidR="00FE60FC" w:rsidRPr="00B6775E" w:rsidRDefault="00B6775E" w:rsidP="00B6775E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6775E">
                          <w:rPr>
                            <w:rFonts w:ascii="Arial" w:hAnsi="Arial" w:cs="Arial"/>
                          </w:rPr>
                          <w:t>Smanjenje vrijedn</w:t>
                        </w:r>
                        <w:r w:rsidR="00A524DD">
                          <w:rPr>
                            <w:rFonts w:ascii="Arial" w:hAnsi="Arial" w:cs="Arial"/>
                          </w:rPr>
                          <w:t xml:space="preserve">osti medicinske opreme od cca 3,5 mil. </w:t>
                        </w:r>
                        <w:r w:rsidRPr="00B6775E">
                          <w:rPr>
                            <w:rFonts w:ascii="Arial" w:hAnsi="Arial" w:cs="Arial"/>
                          </w:rPr>
                          <w:t xml:space="preserve">kn rezultat je isknjiženja rashodovane opreme po odlukama o rashodu.  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B04562" w:rsidRDefault="00B04562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B04562">
                          <w:rPr>
                            <w:rFonts w:ascii="Arial" w:hAnsi="Arial" w:cs="Arial"/>
                          </w:rPr>
                          <w:t>AOP 019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B04562" w:rsidRPr="00B04562" w:rsidRDefault="00B04562" w:rsidP="00B04562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04562">
                          <w:rPr>
                            <w:rFonts w:ascii="Arial" w:hAnsi="Arial" w:cs="Arial"/>
                          </w:rPr>
                          <w:t>Povećanje vrijednosti instrumenata, uređaja i strojeva, rezultat je nabav</w:t>
                        </w:r>
                        <w:r w:rsidR="00A524DD">
                          <w:rPr>
                            <w:rFonts w:ascii="Arial" w:hAnsi="Arial" w:cs="Arial"/>
                          </w:rPr>
                          <w:t>e nove opreme u iznosu od cca 4,</w:t>
                        </w:r>
                        <w:r w:rsidRPr="00B04562">
                          <w:rPr>
                            <w:rFonts w:ascii="Arial" w:hAnsi="Arial" w:cs="Arial"/>
                          </w:rPr>
                          <w:t>2 mil.</w:t>
                        </w:r>
                        <w:r w:rsidR="00A524DD">
                          <w:rPr>
                            <w:rFonts w:ascii="Arial" w:hAnsi="Arial" w:cs="Arial"/>
                          </w:rPr>
                          <w:t>k</w:t>
                        </w:r>
                        <w:r w:rsidRPr="00B04562">
                          <w:rPr>
                            <w:rFonts w:ascii="Arial" w:hAnsi="Arial" w:cs="Arial"/>
                          </w:rPr>
                          <w:t xml:space="preserve">n. </w:t>
                        </w:r>
                      </w:p>
                      <w:p w:rsidR="00FE60FC" w:rsidRPr="00B04562" w:rsidRDefault="00B04562" w:rsidP="00A524DD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04562">
                          <w:rPr>
                            <w:rFonts w:ascii="Arial" w:hAnsi="Arial" w:cs="Arial"/>
                          </w:rPr>
                          <w:t>Smanjenje vrijednosti instrumenata, uređaja i strojeva, u iznosu od cc</w:t>
                        </w:r>
                        <w:r w:rsidR="00A524DD">
                          <w:rPr>
                            <w:rFonts w:ascii="Arial" w:hAnsi="Arial" w:cs="Arial"/>
                          </w:rPr>
                          <w:t>a. 1,</w:t>
                        </w:r>
                        <w:r w:rsidRPr="00B04562">
                          <w:rPr>
                            <w:rFonts w:ascii="Arial" w:hAnsi="Arial" w:cs="Arial"/>
                          </w:rPr>
                          <w:t>6 mil.</w:t>
                        </w:r>
                        <w:r w:rsidR="00A524DD">
                          <w:rPr>
                            <w:rFonts w:ascii="Arial" w:hAnsi="Arial" w:cs="Arial"/>
                          </w:rPr>
                          <w:t xml:space="preserve"> k</w:t>
                        </w:r>
                        <w:r w:rsidRPr="00B04562">
                          <w:rPr>
                            <w:rFonts w:ascii="Arial" w:hAnsi="Arial" w:cs="Arial"/>
                          </w:rPr>
                          <w:t>n, a rezultat je rashoda navedene opreme.</w:t>
                        </w:r>
                      </w:p>
                    </w:tc>
                  </w:tr>
                  <w:tr w:rsidR="00FE60FC" w:rsidRPr="00683EE9" w:rsidTr="00205014">
                    <w:trPr>
                      <w:gridAfter w:val="1"/>
                      <w:wAfter w:w="7" w:type="pct"/>
                      <w:trHeight w:val="1648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205014" w:rsidRDefault="00205014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205014">
                          <w:rPr>
                            <w:rFonts w:ascii="Arial" w:hAnsi="Arial" w:cs="Arial"/>
                          </w:rPr>
                          <w:t>AOP 020</w:t>
                        </w:r>
                      </w:p>
                      <w:p w:rsidR="00FE60FC" w:rsidRPr="00205014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205014" w:rsidRPr="00205014" w:rsidRDefault="00205014" w:rsidP="00205014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05014">
                          <w:rPr>
                            <w:rFonts w:ascii="Arial" w:hAnsi="Arial" w:cs="Arial"/>
                          </w:rPr>
                          <w:t xml:space="preserve">Do povećanja vrijednosti sportske opreme dolazi kao rezultat nabave </w:t>
                        </w:r>
                        <w:r w:rsidR="00877988">
                          <w:rPr>
                            <w:rFonts w:ascii="Arial" w:hAnsi="Arial" w:cs="Arial"/>
                          </w:rPr>
                          <w:t>nove opreme u iznosu od cca 450,0 tis.</w:t>
                        </w:r>
                        <w:r w:rsidRPr="00205014">
                          <w:rPr>
                            <w:rFonts w:ascii="Arial" w:hAnsi="Arial" w:cs="Arial"/>
                          </w:rPr>
                          <w:t xml:space="preserve"> kn.</w:t>
                        </w:r>
                      </w:p>
                      <w:p w:rsidR="00FE60FC" w:rsidRPr="00205014" w:rsidRDefault="00205014" w:rsidP="0058068F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05014">
                          <w:rPr>
                            <w:rFonts w:ascii="Arial" w:hAnsi="Arial" w:cs="Arial"/>
                          </w:rPr>
                          <w:t>Rezultat smanjenja vrijednosti sportske opreme u iznosu od 12</w:t>
                        </w:r>
                        <w:r w:rsidR="0058068F">
                          <w:rPr>
                            <w:rFonts w:ascii="Arial" w:hAnsi="Arial" w:cs="Arial"/>
                          </w:rPr>
                          <w:t>5,2 tis.</w:t>
                        </w:r>
                        <w:r w:rsidRPr="00205014">
                          <w:rPr>
                            <w:rFonts w:ascii="Arial" w:hAnsi="Arial" w:cs="Arial"/>
                          </w:rPr>
                          <w:t xml:space="preserve"> kn je isknjiženje temeljem Odluka o rashodu kao i zapisnika o ekološkom zbrinjavanju.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81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425E79" w:rsidRDefault="00425E79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425E79">
                          <w:rPr>
                            <w:rFonts w:ascii="Arial" w:hAnsi="Arial" w:cs="Arial"/>
                          </w:rPr>
                          <w:t>AOP 021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425E79" w:rsidRPr="00425E79" w:rsidRDefault="00A524DD" w:rsidP="00425E79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Povećanje vrijednosti od cca</w:t>
                        </w:r>
                        <w:r w:rsidR="00425E79" w:rsidRPr="00425E79">
                          <w:rPr>
                            <w:rFonts w:ascii="Arial" w:hAnsi="Arial" w:cs="Arial"/>
                          </w:rPr>
                          <w:t xml:space="preserve"> 85</w:t>
                        </w:r>
                        <w:r w:rsidR="006904B6">
                          <w:rPr>
                            <w:rFonts w:ascii="Arial" w:hAnsi="Arial" w:cs="Arial"/>
                          </w:rPr>
                          <w:t>,6</w:t>
                        </w:r>
                        <w:r w:rsidR="00425E79" w:rsidRPr="00425E79">
                          <w:rPr>
                            <w:rFonts w:ascii="Arial" w:hAnsi="Arial" w:cs="Arial"/>
                          </w:rPr>
                          <w:t xml:space="preserve"> mil. kn rezultat je kupnje nove opreme i donacija. Najveći dio se odnosi na kupnju opreme za ostale namjene</w:t>
                        </w:r>
                        <w:r>
                          <w:rPr>
                            <w:rFonts w:ascii="Arial" w:hAnsi="Arial" w:cs="Arial"/>
                          </w:rPr>
                          <w:t xml:space="preserve"> u vrijednosti od cca. 84 mil. k</w:t>
                        </w:r>
                        <w:r w:rsidR="00425E79" w:rsidRPr="00425E79">
                          <w:rPr>
                            <w:rFonts w:ascii="Arial" w:hAnsi="Arial" w:cs="Arial"/>
                          </w:rPr>
                          <w:t>n.</w:t>
                        </w:r>
                      </w:p>
                      <w:p w:rsidR="00FE60FC" w:rsidRPr="00425E79" w:rsidRDefault="00425E79" w:rsidP="006904B6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25E79">
                          <w:rPr>
                            <w:rFonts w:ascii="Arial" w:hAnsi="Arial" w:cs="Arial"/>
                          </w:rPr>
                          <w:t>Sm</w:t>
                        </w:r>
                        <w:r w:rsidR="00A524DD">
                          <w:rPr>
                            <w:rFonts w:ascii="Arial" w:hAnsi="Arial" w:cs="Arial"/>
                          </w:rPr>
                          <w:t>anjenje vrijednosti  od cca 2,</w:t>
                        </w:r>
                        <w:r w:rsidR="006904B6">
                          <w:rPr>
                            <w:rFonts w:ascii="Arial" w:hAnsi="Arial" w:cs="Arial"/>
                          </w:rPr>
                          <w:t>8</w:t>
                        </w:r>
                        <w:r w:rsidRPr="00425E79">
                          <w:rPr>
                            <w:rFonts w:ascii="Arial" w:hAnsi="Arial" w:cs="Arial"/>
                          </w:rPr>
                          <w:t xml:space="preserve"> mil. kn rezultat je isknjiženja rashodovane opreme, te ustupanje HVZ.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1328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B82A5D" w:rsidRDefault="00B82A5D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B82A5D">
                          <w:rPr>
                            <w:rFonts w:ascii="Arial" w:hAnsi="Arial" w:cs="Arial"/>
                          </w:rPr>
                          <w:t>AOP 025</w:t>
                        </w:r>
                      </w:p>
                      <w:p w:rsidR="00FE60FC" w:rsidRPr="00B82A5D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E60FC" w:rsidRPr="00B82A5D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B82A5D" w:rsidRPr="00B82A5D" w:rsidRDefault="00B82A5D" w:rsidP="00B82A5D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82A5D">
                          <w:rPr>
                            <w:rFonts w:ascii="Arial" w:hAnsi="Arial" w:cs="Arial"/>
                          </w:rPr>
                          <w:t>Povećanja vrijednosti prijevoznih sredstava u cestovnom prometu u ukupnom iznosu od 255 mil. kn, odnosi se na kupnju vatrogas</w:t>
                        </w:r>
                        <w:r w:rsidR="00A524DD">
                          <w:rPr>
                            <w:rFonts w:ascii="Arial" w:hAnsi="Arial" w:cs="Arial"/>
                          </w:rPr>
                          <w:t>nih vozila u iznosu od cca 203,</w:t>
                        </w:r>
                        <w:r w:rsidRPr="00B82A5D">
                          <w:rPr>
                            <w:rFonts w:ascii="Arial" w:hAnsi="Arial" w:cs="Arial"/>
                          </w:rPr>
                          <w:t>5 mil. kn, terenskih vozila 21</w:t>
                        </w:r>
                        <w:r w:rsidR="00A524DD">
                          <w:rPr>
                            <w:rFonts w:ascii="Arial" w:hAnsi="Arial" w:cs="Arial"/>
                          </w:rPr>
                          <w:t>,</w:t>
                        </w:r>
                        <w:r w:rsidRPr="00B82A5D">
                          <w:rPr>
                            <w:rFonts w:ascii="Arial" w:hAnsi="Arial" w:cs="Arial"/>
                          </w:rPr>
                          <w:t>5 mil. k</w:t>
                        </w:r>
                        <w:r w:rsidR="00A524DD">
                          <w:rPr>
                            <w:rFonts w:ascii="Arial" w:hAnsi="Arial" w:cs="Arial"/>
                          </w:rPr>
                          <w:t>n, kombi vozila u iznosu od cca</w:t>
                        </w:r>
                        <w:r w:rsidRPr="00B82A5D">
                          <w:rPr>
                            <w:rFonts w:ascii="Arial" w:hAnsi="Arial" w:cs="Arial"/>
                          </w:rPr>
                          <w:t xml:space="preserve"> 4 mil. kn, osobnih vozila u iznosu od 3</w:t>
                        </w:r>
                        <w:r w:rsidR="00A524DD">
                          <w:rPr>
                            <w:rFonts w:ascii="Arial" w:hAnsi="Arial" w:cs="Arial"/>
                          </w:rPr>
                          <w:t>,</w:t>
                        </w:r>
                        <w:r w:rsidRPr="00B82A5D">
                          <w:rPr>
                            <w:rFonts w:ascii="Arial" w:hAnsi="Arial" w:cs="Arial"/>
                          </w:rPr>
                          <w:t xml:space="preserve">9 mil. kn i ostalih prijevoznih sredstava u iznosu od cca. 18 mil. kn. Većina vatrogasnih i terenskih vozila nabavljano je iz EU </w:t>
                        </w:r>
                        <w:r w:rsidR="00994FA5">
                          <w:rPr>
                            <w:rFonts w:ascii="Arial" w:hAnsi="Arial" w:cs="Arial"/>
                          </w:rPr>
                          <w:t>sredstav</w:t>
                        </w:r>
                        <w:r w:rsidRPr="00B82A5D">
                          <w:rPr>
                            <w:rFonts w:ascii="Arial" w:hAnsi="Arial" w:cs="Arial"/>
                          </w:rPr>
                          <w:t>a</w:t>
                        </w:r>
                        <w:r w:rsidR="00994FA5">
                          <w:rPr>
                            <w:rFonts w:ascii="Arial" w:hAnsi="Arial" w:cs="Arial"/>
                          </w:rPr>
                          <w:t xml:space="preserve"> uz sufinanciranje iz državnog proračuna</w:t>
                        </w:r>
                        <w:r w:rsidRPr="00B82A5D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E60FC" w:rsidRPr="00B82A5D" w:rsidRDefault="00B82A5D" w:rsidP="00994FA5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82A5D">
                          <w:rPr>
                            <w:rFonts w:ascii="Arial" w:hAnsi="Arial" w:cs="Arial"/>
                          </w:rPr>
                          <w:t>Smanjenje vrijednosti prijevoznih sredstava u cestovnom prometu u iznosu o</w:t>
                        </w:r>
                        <w:r w:rsidR="00994FA5">
                          <w:rPr>
                            <w:rFonts w:ascii="Arial" w:hAnsi="Arial" w:cs="Arial"/>
                          </w:rPr>
                          <w:t>d cca</w:t>
                        </w:r>
                        <w:r w:rsidRPr="00B82A5D">
                          <w:rPr>
                            <w:rFonts w:ascii="Arial" w:hAnsi="Arial" w:cs="Arial"/>
                          </w:rPr>
                          <w:t xml:space="preserve"> 5</w:t>
                        </w:r>
                        <w:r w:rsidR="00994FA5">
                          <w:rPr>
                            <w:rFonts w:ascii="Arial" w:hAnsi="Arial" w:cs="Arial"/>
                          </w:rPr>
                          <w:t>2</w:t>
                        </w:r>
                        <w:r w:rsidRPr="00B82A5D">
                          <w:rPr>
                            <w:rFonts w:ascii="Arial" w:hAnsi="Arial" w:cs="Arial"/>
                          </w:rPr>
                          <w:t>,</w:t>
                        </w:r>
                        <w:r w:rsidR="00994FA5">
                          <w:rPr>
                            <w:rFonts w:ascii="Arial" w:hAnsi="Arial" w:cs="Arial"/>
                          </w:rPr>
                          <w:t>8</w:t>
                        </w:r>
                        <w:r w:rsidRPr="00B82A5D">
                          <w:rPr>
                            <w:rFonts w:ascii="Arial" w:hAnsi="Arial" w:cs="Arial"/>
                          </w:rPr>
                          <w:t xml:space="preserve"> mil. kn rezultat je prodaje, rashoda i ustupanja navedenih prijevoznih sredstava.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144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95039F" w:rsidRDefault="0095039F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95039F">
                          <w:rPr>
                            <w:rFonts w:ascii="Arial" w:hAnsi="Arial" w:cs="Arial"/>
                          </w:rPr>
                          <w:t>AOP 027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95039F" w:rsidRDefault="0095039F" w:rsidP="0095039F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95039F">
                          <w:rPr>
                            <w:rFonts w:ascii="Arial" w:hAnsi="Arial" w:cs="Arial"/>
                          </w:rPr>
                          <w:t>Rezultat smanjenja vrijednosti prijevoznih sredstva u pomorskom i riječnom prometu u iznosu od 290.000 kn odnosi se na prodana plovila (PU primorsko-goranska i PU koprivničko-križevačka).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144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5054FC" w:rsidRDefault="005054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5054FC">
                          <w:rPr>
                            <w:rFonts w:ascii="Arial" w:hAnsi="Arial" w:cs="Arial"/>
                          </w:rPr>
                          <w:t>AOP 029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5054FC" w:rsidRDefault="005054FC" w:rsidP="00FE60FC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054FC">
                          <w:rPr>
                            <w:rFonts w:ascii="Arial" w:hAnsi="Arial" w:cs="Arial"/>
                          </w:rPr>
                          <w:t>Ispravak vrijednosti prijevoznih sredstava rezultat je uvećanja zbog godišnjeg obračuna amortizacije.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680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5054FC" w:rsidRDefault="005054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5054FC">
                          <w:rPr>
                            <w:rFonts w:ascii="Arial" w:hAnsi="Arial" w:cs="Arial"/>
                          </w:rPr>
                          <w:t>AOP 031</w:t>
                        </w:r>
                      </w:p>
                      <w:p w:rsidR="00FE60FC" w:rsidRPr="005054FC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46" w:type="pct"/>
                      </w:tcPr>
                      <w:p w:rsidR="005054FC" w:rsidRPr="005054FC" w:rsidRDefault="005054FC" w:rsidP="005E7F4B">
                        <w:pPr>
                          <w:spacing w:after="0"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054FC">
                          <w:rPr>
                            <w:rFonts w:ascii="Arial" w:hAnsi="Arial" w:cs="Arial"/>
                          </w:rPr>
                          <w:t xml:space="preserve">Povećanje vrijednosti u odnosu na prethodno razdoblje odnosi se na kupnju 327 kom  knjiga za potrebe Službe za razvoj policijskog obrazovanja i nakladničko bibliotečnu djelatnost.   </w:t>
                        </w:r>
                      </w:p>
                      <w:p w:rsidR="00FE60FC" w:rsidRPr="005054FC" w:rsidRDefault="005054FC" w:rsidP="00FE60FC">
                        <w:pPr>
                          <w:spacing w:line="360" w:lineRule="auto"/>
                          <w:ind w:right="296"/>
                          <w:jc w:val="both"/>
                        </w:pPr>
                        <w:r w:rsidRPr="005054FC">
                          <w:rPr>
                            <w:rFonts w:ascii="Arial" w:hAnsi="Arial" w:cs="Arial"/>
                          </w:rPr>
                          <w:t xml:space="preserve">Smanjenje vrijednosti od 311,11 kn odnosi se na ustupanje HVZ-u. 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680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234A4C" w:rsidRDefault="00234A4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234A4C">
                          <w:rPr>
                            <w:rFonts w:ascii="Arial" w:hAnsi="Arial" w:cs="Arial"/>
                          </w:rPr>
                          <w:t>AOP 038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234A4C" w:rsidRPr="00C7152C" w:rsidRDefault="00234A4C" w:rsidP="00234A4C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234A4C">
                          <w:rPr>
                            <w:rFonts w:ascii="Arial" w:hAnsi="Arial" w:cs="Arial"/>
                          </w:rPr>
                          <w:t>Povećanja vrijednosti odnosi se na nabavu pasa za Centar za obuku vodiča i dresuru pasa  u iznosu od cca</w:t>
                        </w:r>
                        <w:r w:rsidR="00430977">
                          <w:rPr>
                            <w:rFonts w:ascii="Arial" w:hAnsi="Arial" w:cs="Arial"/>
                          </w:rPr>
                          <w:t xml:space="preserve"> 277,0 tis.</w:t>
                        </w:r>
                        <w:r w:rsidR="000C12A9">
                          <w:rPr>
                            <w:rFonts w:ascii="Arial" w:hAnsi="Arial" w:cs="Arial"/>
                          </w:rPr>
                          <w:t xml:space="preserve"> kn.</w:t>
                        </w:r>
                      </w:p>
                      <w:p w:rsidR="00FE60FC" w:rsidRPr="00234A4C" w:rsidRDefault="00234A4C" w:rsidP="0036188C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34A4C">
                          <w:rPr>
                            <w:rFonts w:ascii="Arial" w:hAnsi="Arial" w:cs="Arial"/>
                          </w:rPr>
                          <w:t>Rezultat smanjenja vrijedn</w:t>
                        </w:r>
                        <w:r w:rsidR="00DF691D">
                          <w:rPr>
                            <w:rFonts w:ascii="Arial" w:hAnsi="Arial" w:cs="Arial"/>
                          </w:rPr>
                          <w:t xml:space="preserve">osti u iznosu od cca </w:t>
                        </w:r>
                        <w:r w:rsidRPr="00234A4C">
                          <w:rPr>
                            <w:rFonts w:ascii="Arial" w:hAnsi="Arial" w:cs="Arial"/>
                          </w:rPr>
                          <w:t>156</w:t>
                        </w:r>
                        <w:r w:rsidR="0036188C">
                          <w:rPr>
                            <w:rFonts w:ascii="Arial" w:hAnsi="Arial" w:cs="Arial"/>
                          </w:rPr>
                          <w:t>,</w:t>
                        </w:r>
                        <w:r w:rsidRPr="00234A4C">
                          <w:rPr>
                            <w:rFonts w:ascii="Arial" w:hAnsi="Arial" w:cs="Arial"/>
                          </w:rPr>
                          <w:t>0</w:t>
                        </w:r>
                        <w:r w:rsidR="0036188C">
                          <w:rPr>
                            <w:rFonts w:ascii="Arial" w:hAnsi="Arial" w:cs="Arial"/>
                          </w:rPr>
                          <w:t xml:space="preserve"> tis.</w:t>
                        </w:r>
                        <w:r w:rsidRPr="00234A4C">
                          <w:rPr>
                            <w:rFonts w:ascii="Arial" w:hAnsi="Arial" w:cs="Arial"/>
                          </w:rPr>
                          <w:t xml:space="preserve"> kn odnosi se na isknjiženje pasa temeljem Odluke o rashodu te ustupanju istih fizičkim osobama. </w:t>
                        </w:r>
                      </w:p>
                    </w:tc>
                  </w:tr>
                  <w:tr w:rsidR="00E56C52" w:rsidRPr="00E56C52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E56C52" w:rsidRDefault="00E56C52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E56C52">
                          <w:rPr>
                            <w:rFonts w:ascii="Arial" w:hAnsi="Arial" w:cs="Arial"/>
                          </w:rPr>
                          <w:t>AOP 039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E56C52" w:rsidRDefault="00E56C52" w:rsidP="00E56C52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56C52">
                          <w:rPr>
                            <w:rFonts w:ascii="Arial" w:hAnsi="Arial" w:cs="Arial"/>
                          </w:rPr>
                          <w:t>Povećanje ispravka vrijednosti višegodišnjih nasada i osnovnog stada rezultat je godišnjeg obračuna amortizacije.</w:t>
                        </w:r>
                        <w:r w:rsidR="00FE60FC" w:rsidRPr="00E56C52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A02BBC" w:rsidRPr="00E56C52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</w:tcPr>
                      <w:p w:rsidR="00A02BBC" w:rsidRPr="00E56C52" w:rsidRDefault="00A02BB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E56C52">
                          <w:rPr>
                            <w:rFonts w:ascii="Arial" w:hAnsi="Arial" w:cs="Arial"/>
                          </w:rPr>
                          <w:t>AOP 042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A02BBC" w:rsidRPr="00E56C52" w:rsidRDefault="00A02BBC" w:rsidP="00A02BBC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56C52">
                          <w:rPr>
                            <w:rFonts w:ascii="Arial" w:hAnsi="Arial" w:cs="Arial"/>
                          </w:rPr>
                          <w:t xml:space="preserve">Rezultat povećanja ulaganja u računalne programe tijekom 2021. godine je kupnja novih softvera  u iznosu od cca </w:t>
                        </w:r>
                        <w:r w:rsidR="003241B7">
                          <w:rPr>
                            <w:rFonts w:ascii="Arial" w:hAnsi="Arial" w:cs="Arial"/>
                          </w:rPr>
                          <w:t>9,7</w:t>
                        </w:r>
                        <w:r w:rsidRPr="00E56C52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C7152C">
                          <w:rPr>
                            <w:rFonts w:ascii="Arial" w:hAnsi="Arial" w:cs="Arial"/>
                          </w:rPr>
                          <w:t>mil. kn. Od ukupnog iznosa, cca</w:t>
                        </w:r>
                        <w:r w:rsidRPr="00E56C52">
                          <w:rPr>
                            <w:rFonts w:ascii="Arial" w:hAnsi="Arial" w:cs="Arial"/>
                          </w:rPr>
                          <w:t xml:space="preserve"> 3</w:t>
                        </w:r>
                        <w:r w:rsidR="00C7152C">
                          <w:rPr>
                            <w:rFonts w:ascii="Arial" w:hAnsi="Arial" w:cs="Arial"/>
                          </w:rPr>
                          <w:t>,</w:t>
                        </w:r>
                        <w:r w:rsidRPr="00E56C52">
                          <w:rPr>
                            <w:rFonts w:ascii="Arial" w:hAnsi="Arial" w:cs="Arial"/>
                          </w:rPr>
                          <w:t>6 mil. kn odnosi se na kupnju softvera za sustav SOTAH – razvoj i implementacija, cca</w:t>
                        </w:r>
                        <w:r w:rsidR="00C7152C">
                          <w:rPr>
                            <w:rFonts w:ascii="Arial" w:hAnsi="Arial" w:cs="Arial"/>
                          </w:rPr>
                          <w:t xml:space="preserve"> 4,</w:t>
                        </w:r>
                        <w:r w:rsidRPr="00E56C52">
                          <w:rPr>
                            <w:rFonts w:ascii="Arial" w:hAnsi="Arial" w:cs="Arial"/>
                          </w:rPr>
                          <w:t xml:space="preserve">4 mil. kn odnosi se na sustav Unaprjeđenje i modernizacija rada prometne policije – održavanje i razvoj sustava, te softvere Infomare i aplikaciju EOKC Carmenta. </w:t>
                        </w:r>
                      </w:p>
                      <w:p w:rsidR="00A02BBC" w:rsidRPr="00E56C52" w:rsidRDefault="00A02BBC" w:rsidP="00C7152C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E56C52">
                          <w:rPr>
                            <w:rFonts w:ascii="Arial" w:hAnsi="Arial" w:cs="Arial"/>
                          </w:rPr>
                          <w:t>Do smanjenja vrijednosti ulaganja u računalne programe u iznosu od cca 13</w:t>
                        </w:r>
                        <w:r w:rsidR="00C7152C">
                          <w:rPr>
                            <w:rFonts w:ascii="Arial" w:hAnsi="Arial" w:cs="Arial"/>
                          </w:rPr>
                          <w:t>,</w:t>
                        </w:r>
                        <w:r w:rsidRPr="00E56C52">
                          <w:rPr>
                            <w:rFonts w:ascii="Arial" w:hAnsi="Arial" w:cs="Arial"/>
                          </w:rPr>
                          <w:t>6 mil. kn došlo je zbog isknjiženja softvera temeljem Odluka o rashodu imovine</w:t>
                        </w:r>
                        <w:r w:rsidR="00C7152C">
                          <w:rPr>
                            <w:rFonts w:ascii="Arial" w:hAnsi="Arial" w:cs="Arial"/>
                          </w:rPr>
                          <w:t xml:space="preserve"> u vrijednosti od cca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C7152C">
                          <w:rPr>
                            <w:rFonts w:ascii="Arial" w:hAnsi="Arial" w:cs="Arial"/>
                          </w:rPr>
                          <w:t>10 mil. kn, ustupanja od cca 3,</w:t>
                        </w:r>
                        <w:r>
                          <w:rPr>
                            <w:rFonts w:ascii="Arial" w:hAnsi="Arial" w:cs="Arial"/>
                          </w:rPr>
                          <w:t>3 mil. k</w:t>
                        </w:r>
                        <w:r w:rsidRPr="00E56C52">
                          <w:rPr>
                            <w:rFonts w:ascii="Arial" w:hAnsi="Arial" w:cs="Arial"/>
                          </w:rPr>
                          <w:t>n i manj</w:t>
                        </w:r>
                        <w:r>
                          <w:rPr>
                            <w:rFonts w:ascii="Arial" w:hAnsi="Arial" w:cs="Arial"/>
                          </w:rPr>
                          <w:t>ka po inventuri 13.500 k</w:t>
                        </w:r>
                        <w:r w:rsidRPr="00E56C52">
                          <w:rPr>
                            <w:rFonts w:ascii="Arial" w:hAnsi="Arial" w:cs="Arial"/>
                          </w:rPr>
                          <w:t>n.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E56C52" w:rsidRDefault="00E56C52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E56C52">
                          <w:rPr>
                            <w:rFonts w:ascii="Arial" w:hAnsi="Arial" w:cs="Arial"/>
                          </w:rPr>
                          <w:t>AOP 04</w:t>
                        </w:r>
                        <w:r w:rsidR="00A02BBC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E56C52" w:rsidRDefault="00A02BBC" w:rsidP="00E56C52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A02BBC">
                          <w:rPr>
                            <w:rFonts w:ascii="Arial" w:hAnsi="Arial" w:cs="Arial"/>
                          </w:rPr>
                          <w:t>Ispravak vrijednosti nematerijalne proizvedene imovine uvećan je za godišnji obračun amortizacije.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0D7823" w:rsidRDefault="00FE60FC" w:rsidP="00FE60FC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4A7392">
                          <w:rPr>
                            <w:rFonts w:ascii="Arial" w:hAnsi="Arial" w:cs="Arial"/>
                          </w:rPr>
                          <w:t>AOP 048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0D7823" w:rsidRDefault="00FE60FC" w:rsidP="004A7392">
                        <w:pPr>
                          <w:spacing w:line="360" w:lineRule="auto"/>
                          <w:ind w:right="296"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4A7392">
                          <w:rPr>
                            <w:rFonts w:ascii="Arial" w:hAnsi="Arial" w:cs="Arial"/>
                          </w:rPr>
                          <w:t xml:space="preserve">Povećanje zaliha sitnog inventara za </w:t>
                        </w:r>
                        <w:r w:rsidR="004A7392">
                          <w:rPr>
                            <w:rFonts w:ascii="Arial" w:hAnsi="Arial" w:cs="Arial"/>
                          </w:rPr>
                          <w:t>31</w:t>
                        </w:r>
                        <w:r w:rsidRPr="004A7392">
                          <w:rPr>
                            <w:rFonts w:ascii="Arial" w:hAnsi="Arial" w:cs="Arial"/>
                          </w:rPr>
                          <w:t>,</w:t>
                        </w:r>
                        <w:r w:rsidR="004A7392">
                          <w:rPr>
                            <w:rFonts w:ascii="Arial" w:hAnsi="Arial" w:cs="Arial"/>
                          </w:rPr>
                          <w:t>2</w:t>
                        </w:r>
                        <w:r w:rsidRPr="004A7392">
                          <w:rPr>
                            <w:rFonts w:ascii="Arial" w:hAnsi="Arial" w:cs="Arial"/>
                          </w:rPr>
                          <w:t>% posljedica je konstantno</w:t>
                        </w:r>
                        <w:r w:rsidR="004A7392" w:rsidRPr="004A7392">
                          <w:rPr>
                            <w:rFonts w:ascii="Arial" w:hAnsi="Arial" w:cs="Arial"/>
                          </w:rPr>
                          <w:t>g</w:t>
                        </w:r>
                        <w:r w:rsidRPr="004A7392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A7392" w:rsidRPr="004A7392">
                          <w:rPr>
                            <w:rFonts w:ascii="Arial" w:hAnsi="Arial" w:cs="Arial"/>
                          </w:rPr>
                          <w:t xml:space="preserve">povećavanja </w:t>
                        </w:r>
                        <w:r w:rsidRPr="004A7392">
                          <w:rPr>
                            <w:rFonts w:ascii="Arial" w:hAnsi="Arial" w:cs="Arial"/>
                          </w:rPr>
                          <w:t>ogromn</w:t>
                        </w:r>
                        <w:r w:rsidR="004A7392">
                          <w:rPr>
                            <w:rFonts w:ascii="Arial" w:hAnsi="Arial" w:cs="Arial"/>
                          </w:rPr>
                          <w:t>e količine pomoći i donacija u skladišta DIP-a, najvećim dijelom iz</w:t>
                        </w:r>
                        <w:r w:rsidRPr="004A7392">
                          <w:rPr>
                            <w:rFonts w:ascii="Arial" w:hAnsi="Arial" w:cs="Arial"/>
                          </w:rPr>
                          <w:t xml:space="preserve"> državn</w:t>
                        </w:r>
                        <w:r w:rsidR="004A7392">
                          <w:rPr>
                            <w:rFonts w:ascii="Arial" w:hAnsi="Arial" w:cs="Arial"/>
                          </w:rPr>
                          <w:t>e rezerve</w:t>
                        </w:r>
                        <w:r w:rsidRPr="004A7392">
                          <w:rPr>
                            <w:rFonts w:ascii="Arial" w:hAnsi="Arial" w:cs="Arial"/>
                          </w:rPr>
                          <w:t xml:space="preserve"> te su u vrijeme trajno prisutne </w:t>
                        </w:r>
                        <w:r w:rsidRPr="004A7392">
                          <w:rPr>
                            <w:rFonts w:ascii="Arial" w:hAnsi="Arial" w:cs="Arial"/>
                          </w:rPr>
                          <w:lastRenderedPageBreak/>
                          <w:t>nepogode pandemije Covid 19, kao i potresa bila osnovni opskrbljivači robe na nivou cijele Hrvatske. Roba se uglavnom izdavala županijskim stožerima i drugim korisnicima te nadalje do svih potrebitih.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1374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69129C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9129C">
                          <w:rPr>
                            <w:rFonts w:ascii="Arial" w:hAnsi="Arial" w:cs="Arial"/>
                          </w:rPr>
                          <w:lastRenderedPageBreak/>
                          <w:t>AOP 052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0D7823" w:rsidRDefault="0069129C" w:rsidP="00C7152C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92D050"/>
                          </w:rPr>
                        </w:pPr>
                        <w:r w:rsidRPr="0069129C">
                          <w:rPr>
                            <w:rFonts w:ascii="Arial" w:hAnsi="Arial" w:cs="Arial"/>
                          </w:rPr>
                          <w:t>Povećanje vrijednosti građevinski ob</w:t>
                        </w:r>
                        <w:r w:rsidR="00C7152C">
                          <w:rPr>
                            <w:rFonts w:ascii="Arial" w:hAnsi="Arial" w:cs="Arial"/>
                          </w:rPr>
                          <w:t>jekti u pripremi u iznosu od cca</w:t>
                        </w:r>
                        <w:r w:rsidRPr="0069129C">
                          <w:rPr>
                            <w:rFonts w:ascii="Arial" w:hAnsi="Arial" w:cs="Arial"/>
                          </w:rPr>
                          <w:t xml:space="preserve"> 13</w:t>
                        </w:r>
                        <w:r w:rsidR="00C7152C">
                          <w:rPr>
                            <w:rFonts w:ascii="Arial" w:hAnsi="Arial" w:cs="Arial"/>
                          </w:rPr>
                          <w:t>,</w:t>
                        </w:r>
                        <w:r w:rsidRPr="0069129C">
                          <w:rPr>
                            <w:rFonts w:ascii="Arial" w:hAnsi="Arial" w:cs="Arial"/>
                          </w:rPr>
                          <w:t>5 mil. kn odnosi se na izvođenje sljedećeg: izrada projektne dokumentacije za izgradnju groblja za pse Domaslovec cca 20.000 kn, postavljanje dislociranog objekta PP Gvozd (Fond za unutarnju sigurnost – Jačanje ak</w:t>
                        </w:r>
                        <w:r w:rsidR="00C7152C">
                          <w:rPr>
                            <w:rFonts w:ascii="Arial" w:hAnsi="Arial" w:cs="Arial"/>
                          </w:rPr>
                          <w:t>tivnosti granične kontrole) cca</w:t>
                        </w:r>
                        <w:r w:rsidRPr="0069129C">
                          <w:rPr>
                            <w:rFonts w:ascii="Arial" w:hAnsi="Arial" w:cs="Arial"/>
                          </w:rPr>
                          <w:t xml:space="preserve"> 94.000 kn, te izgradnja zgrade PP i PGP Imotski PU split</w:t>
                        </w:r>
                        <w:r w:rsidR="00C7152C">
                          <w:rPr>
                            <w:rFonts w:ascii="Arial" w:hAnsi="Arial" w:cs="Arial"/>
                          </w:rPr>
                          <w:t>sko-dalmatinske u iznosu od cca</w:t>
                        </w:r>
                        <w:r w:rsidRPr="0069129C">
                          <w:rPr>
                            <w:rFonts w:ascii="Arial" w:hAnsi="Arial" w:cs="Arial"/>
                          </w:rPr>
                          <w:t xml:space="preserve"> 13</w:t>
                        </w:r>
                        <w:r w:rsidR="00C7152C">
                          <w:rPr>
                            <w:rFonts w:ascii="Arial" w:hAnsi="Arial" w:cs="Arial"/>
                          </w:rPr>
                          <w:t>,</w:t>
                        </w:r>
                        <w:r w:rsidRPr="0069129C">
                          <w:rPr>
                            <w:rFonts w:ascii="Arial" w:hAnsi="Arial" w:cs="Arial"/>
                          </w:rPr>
                          <w:t xml:space="preserve">4 mil. </w:t>
                        </w:r>
                        <w:r>
                          <w:rPr>
                            <w:rFonts w:ascii="Arial" w:hAnsi="Arial" w:cs="Arial"/>
                          </w:rPr>
                          <w:t>k</w:t>
                        </w:r>
                        <w:r w:rsidRPr="0069129C">
                          <w:rPr>
                            <w:rFonts w:ascii="Arial" w:hAnsi="Arial" w:cs="Arial"/>
                          </w:rPr>
                          <w:t xml:space="preserve">n, čija vrijednost će se na upotrebu prenijeti nakon završetka radova.  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286"/>
                    </w:trPr>
                    <w:tc>
                      <w:tcPr>
                        <w:tcW w:w="447" w:type="pct"/>
                        <w:gridSpan w:val="2"/>
                      </w:tcPr>
                      <w:p w:rsidR="00FE60FC" w:rsidRPr="00683EE9" w:rsidRDefault="00FE60FC" w:rsidP="00FE60FC">
                        <w:pPr>
                          <w:tabs>
                            <w:tab w:val="left" w:pos="903"/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703DA7">
                          <w:rPr>
                            <w:rFonts w:ascii="Arial" w:hAnsi="Arial" w:cs="Arial"/>
                          </w:rPr>
                          <w:t>AOP 058</w:t>
                        </w:r>
                        <w:r w:rsidR="0053120B" w:rsidRPr="00703DA7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683EE9" w:rsidRDefault="00FE60FC" w:rsidP="00FE60FC">
                        <w:pPr>
                          <w:tabs>
                            <w:tab w:val="left" w:pos="903"/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Zalihe kratkotrajne imovine </w:t>
                        </w:r>
                        <w:r w:rsidR="00304558">
                          <w:rPr>
                            <w:rFonts w:ascii="Arial" w:hAnsi="Arial" w:cs="Arial"/>
                          </w:rPr>
                          <w:t>manj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e su u odnosu na početno stanje za </w:t>
                        </w:r>
                        <w:r w:rsidR="00304558">
                          <w:rPr>
                            <w:rFonts w:ascii="Arial" w:hAnsi="Arial" w:cs="Arial"/>
                          </w:rPr>
                          <w:t>12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304558">
                          <w:rPr>
                            <w:rFonts w:ascii="Arial" w:hAnsi="Arial" w:cs="Arial"/>
                          </w:rPr>
                          <w:t>0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%, nominalno iskazane cca </w:t>
                        </w:r>
                        <w:r w:rsidR="00304558">
                          <w:rPr>
                            <w:rFonts w:ascii="Arial" w:hAnsi="Arial" w:cs="Arial"/>
                          </w:rPr>
                          <w:t>69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304558">
                          <w:rPr>
                            <w:rFonts w:ascii="Arial" w:hAnsi="Arial" w:cs="Arial"/>
                          </w:rPr>
                          <w:t>2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mil.kn. </w:t>
                        </w:r>
                        <w:r w:rsidR="003902EA">
                          <w:rPr>
                            <w:rFonts w:ascii="Arial" w:hAnsi="Arial" w:cs="Arial"/>
                          </w:rPr>
                          <w:t>Iako je došlo do smanjenja zaliha, s</w:t>
                        </w:r>
                        <w:r w:rsidRPr="00683EE9">
                          <w:rPr>
                            <w:rFonts w:ascii="Arial" w:hAnsi="Arial" w:cs="Arial"/>
                          </w:rPr>
                          <w:t>kladišt</w:t>
                        </w:r>
                        <w:r w:rsidR="003902EA">
                          <w:rPr>
                            <w:rFonts w:ascii="Arial" w:hAnsi="Arial" w:cs="Arial"/>
                          </w:rPr>
                          <w:t>a Državne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in</w:t>
                        </w:r>
                        <w:r w:rsidR="003902EA">
                          <w:rPr>
                            <w:rFonts w:ascii="Arial" w:hAnsi="Arial" w:cs="Arial"/>
                          </w:rPr>
                          <w:t>tervencijske postrojbe CZ i dalje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su glavni opskrbljivači roba (potrošnog materijala, prehrane svim korisnicima pomoći vezano za pandemiju Covid 19, kao i posljedica elementarne nepogode potresa). </w:t>
                        </w:r>
                      </w:p>
                      <w:p w:rsidR="00A47B29" w:rsidRPr="00683EE9" w:rsidRDefault="00A47B29" w:rsidP="00A47B29">
                        <w:pPr>
                          <w:tabs>
                            <w:tab w:val="left" w:pos="903"/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Najznačajniji utjecaj na smanjenje imale su zalihe potrošnog materijala u iznosu cca 87,5 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 xml:space="preserve">mil.kn, a posljedica su </w:t>
                        </w:r>
                        <w:r>
                          <w:rPr>
                            <w:rFonts w:ascii="Arial" w:hAnsi="Arial" w:cs="Arial"/>
                          </w:rPr>
                          <w:t>gore navedene pandemije.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144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064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Vrijednost financijske imovine na dan 31.12.202</w:t>
                        </w:r>
                        <w:r w:rsidR="00133B29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 god. </w:t>
                        </w:r>
                        <w:r w:rsidR="00133B29">
                          <w:rPr>
                            <w:rFonts w:ascii="Arial" w:hAnsi="Arial" w:cs="Arial"/>
                          </w:rPr>
                          <w:t>3,6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% veća je od početnog stanja i sastoji se od:     </w:t>
                        </w:r>
                      </w:p>
                      <w:p w:rsidR="00686B2F" w:rsidRDefault="00FE60FC" w:rsidP="00686B2F">
                        <w:pPr>
                          <w:tabs>
                            <w:tab w:val="left" w:pos="1440"/>
                          </w:tabs>
                          <w:spacing w:after="0" w:line="360" w:lineRule="auto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gotovinskih  sredstava kunskih i deviznih blagajni koja su podignuta za svakodnevne potrebe poslovanja sa gotovinskim sredstvima, akontacije za službeni put, obračune troškova po putnim nalozima, sitne nabavke i dr.  </w:t>
                        </w:r>
                      </w:p>
                      <w:p w:rsidR="00FE60FC" w:rsidRPr="00683EE9" w:rsidRDefault="00686B2F" w:rsidP="00FE60FC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Novac u banci i blagajni na dan 31.12.2020. god. za </w:t>
                        </w:r>
                        <w:r>
                          <w:rPr>
                            <w:rFonts w:ascii="Arial" w:hAnsi="Arial" w:cs="Arial"/>
                          </w:rPr>
                          <w:t>13,6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% </w:t>
                        </w:r>
                        <w:r>
                          <w:rPr>
                            <w:rFonts w:ascii="Arial" w:hAnsi="Arial" w:cs="Arial"/>
                          </w:rPr>
                          <w:t>manji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je u odnosu na početno stanje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E60FC" w:rsidRPr="00683EE9" w:rsidRDefault="00F87BBE" w:rsidP="00686B2F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Z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a neutrošena sredstva blagajne izvršena je korekcija prihoda i evidentirana obveza povrata istih u Proračun do 31.1.202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.god. na šifru prihoda 7196-094.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  <w:trHeight w:val="144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92798A" w:rsidRDefault="00FE60FC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AF2ABA">
                          <w:rPr>
                            <w:rFonts w:ascii="Arial" w:hAnsi="Arial" w:cs="Arial"/>
                          </w:rPr>
                          <w:t>AOP 078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92798A" w:rsidRDefault="00FE60FC" w:rsidP="009C69E8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AF2ABA">
                          <w:rPr>
                            <w:rFonts w:ascii="Arial" w:hAnsi="Arial" w:cs="Arial"/>
                          </w:rPr>
                          <w:t>Potraživanja od zaposlenih</w:t>
                        </w:r>
                        <w:r w:rsidR="00AF2ABA">
                          <w:rPr>
                            <w:rFonts w:ascii="Arial" w:hAnsi="Arial" w:cs="Arial"/>
                          </w:rPr>
                          <w:t xml:space="preserve"> veća su 11,1%</w:t>
                        </w:r>
                        <w:r w:rsidRPr="0092798A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AF2ABA">
                          <w:rPr>
                            <w:rFonts w:ascii="Arial" w:hAnsi="Arial" w:cs="Arial"/>
                          </w:rPr>
                          <w:t xml:space="preserve">od početnog stanja. </w:t>
                        </w:r>
                        <w:r w:rsidRPr="009C69E8">
                          <w:rPr>
                            <w:rFonts w:ascii="Arial" w:hAnsi="Arial" w:cs="Arial"/>
                          </w:rPr>
                          <w:t>AOP također sadrži akontaciju za operativne potrebe poslova Službe krim policije, otvorene u ranijem razdoblju. AOP sadrži potraživanja za akontacije za službeni put za koje ovjereni obračuni nisu dostavljeni na ovjeru do 31.12.202</w:t>
                        </w:r>
                        <w:r w:rsidR="009C69E8">
                          <w:rPr>
                            <w:rFonts w:ascii="Arial" w:hAnsi="Arial" w:cs="Arial"/>
                          </w:rPr>
                          <w:t>1</w:t>
                        </w:r>
                        <w:r w:rsidR="004C41D8">
                          <w:rPr>
                            <w:rFonts w:ascii="Arial" w:hAnsi="Arial" w:cs="Arial"/>
                          </w:rPr>
                          <w:t>.god., akontacije te</w:t>
                        </w:r>
                        <w:r w:rsidRPr="009C69E8">
                          <w:rPr>
                            <w:rFonts w:ascii="Arial" w:hAnsi="Arial" w:cs="Arial"/>
                          </w:rPr>
                          <w:t xml:space="preserve"> operativne radnje otvorene u ranijem razdoblju. Za sredstva nezatvorenih akontacija izvršena je korekcija prihoda i evidentirana obveza povrata  istih u državni proračun ( šifra 7196-094).</w:t>
                        </w:r>
                      </w:p>
                    </w:tc>
                  </w:tr>
                  <w:tr w:rsidR="00FE60FC" w:rsidRPr="00683EE9" w:rsidTr="005E7F4B">
                    <w:trPr>
                      <w:gridAfter w:val="1"/>
                      <w:wAfter w:w="7" w:type="pct"/>
                      <w:trHeight w:val="2376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081</w:t>
                        </w:r>
                      </w:p>
                    </w:tc>
                    <w:tc>
                      <w:tcPr>
                        <w:tcW w:w="4546" w:type="pct"/>
                      </w:tcPr>
                      <w:p w:rsidR="00FE60FC" w:rsidRPr="00683EE9" w:rsidRDefault="0092798A" w:rsidP="005E7F4B">
                        <w:pPr>
                          <w:tabs>
                            <w:tab w:val="left" w:pos="1440"/>
                          </w:tabs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Ostala potraživanja veća su za 50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</w:rPr>
                          <w:t>3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% od poč</w:t>
                        </w:r>
                        <w:r w:rsidR="00BB2FA4">
                          <w:rPr>
                            <w:rFonts w:ascii="Arial" w:hAnsi="Arial" w:cs="Arial"/>
                          </w:rPr>
                          <w:t>e</w:t>
                        </w:r>
                        <w:r w:rsidR="00FE60FC" w:rsidRPr="00683EE9">
                          <w:rPr>
                            <w:rFonts w:ascii="Arial" w:hAnsi="Arial" w:cs="Arial"/>
                          </w:rPr>
                          <w:t>tnog stanja. Nominalno iskazano najznačajnije stavke odnose se na:</w:t>
                        </w:r>
                      </w:p>
                      <w:p w:rsidR="00FE60FC" w:rsidRPr="00683EE9" w:rsidRDefault="00FE60FC" w:rsidP="00FE60F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440"/>
                          </w:tabs>
                          <w:spacing w:line="360" w:lineRule="auto"/>
                          <w:contextualSpacing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Bolovanje na teret HZZO-a iznad 42 dana i ozljede na radu na dan bilance iznose cca </w:t>
                        </w:r>
                        <w:r w:rsidR="0092798A">
                          <w:rPr>
                            <w:rFonts w:ascii="Arial" w:hAnsi="Arial" w:cs="Arial"/>
                          </w:rPr>
                          <w:t>6</w:t>
                        </w:r>
                        <w:r w:rsidRPr="00683EE9">
                          <w:rPr>
                            <w:rFonts w:ascii="Arial" w:hAnsi="Arial" w:cs="Arial"/>
                          </w:rPr>
                          <w:t>2,</w:t>
                        </w:r>
                        <w:r w:rsidR="0092798A">
                          <w:rPr>
                            <w:rFonts w:ascii="Arial" w:hAnsi="Arial" w:cs="Arial"/>
                          </w:rPr>
                          <w:t>2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mil.kn. U odnosu na početno stanje (</w:t>
                        </w:r>
                        <w:r w:rsidR="00BB2FA4">
                          <w:rPr>
                            <w:rFonts w:ascii="Arial" w:hAnsi="Arial" w:cs="Arial"/>
                          </w:rPr>
                          <w:t>42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BB2FA4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mil.kn) povećanje iznosi </w:t>
                        </w:r>
                        <w:r w:rsidR="00BB2FA4">
                          <w:rPr>
                            <w:rFonts w:ascii="Arial" w:hAnsi="Arial" w:cs="Arial"/>
                          </w:rPr>
                          <w:t>47</w:t>
                        </w:r>
                        <w:r w:rsidRPr="00683EE9">
                          <w:rPr>
                            <w:rFonts w:ascii="Arial" w:hAnsi="Arial" w:cs="Arial"/>
                          </w:rPr>
                          <w:t>%.</w:t>
                        </w:r>
                      </w:p>
                      <w:p w:rsidR="00FE60FC" w:rsidRPr="00683EE9" w:rsidRDefault="00FE60FC" w:rsidP="005E7F4B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440"/>
                          </w:tabs>
                          <w:spacing w:after="0" w:line="360" w:lineRule="auto"/>
                          <w:contextualSpacing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Potraživanja s osnova refundacija za štete od osiguravajućih društava (na dan 31.12.202</w:t>
                        </w:r>
                        <w:r w:rsidR="007A58CF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 iznosi cca </w:t>
                        </w:r>
                        <w:r w:rsidR="007A58CF">
                          <w:rPr>
                            <w:rFonts w:ascii="Arial" w:hAnsi="Arial" w:cs="Arial"/>
                          </w:rPr>
                          <w:t>9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7A58CF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mil.kn) veća su u odnosu na početno stanje za 68%.</w:t>
                        </w:r>
                      </w:p>
                    </w:tc>
                  </w:tr>
                  <w:tr w:rsidR="00FE60FC" w:rsidRPr="00683EE9" w:rsidTr="00FE60FC">
                    <w:trPr>
                      <w:gridAfter w:val="1"/>
                      <w:wAfter w:w="7" w:type="pct"/>
                    </w:trPr>
                    <w:tc>
                      <w:tcPr>
                        <w:tcW w:w="447" w:type="pct"/>
                        <w:gridSpan w:val="2"/>
                        <w:shd w:val="clear" w:color="auto" w:fill="FFFFFF"/>
                      </w:tcPr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083</w:t>
                        </w:r>
                      </w:p>
                    </w:tc>
                    <w:tc>
                      <w:tcPr>
                        <w:tcW w:w="4546" w:type="pct"/>
                        <w:shd w:val="clear" w:color="auto" w:fill="FFFFFF"/>
                      </w:tcPr>
                      <w:p w:rsidR="00FE60FC" w:rsidRPr="00683EE9" w:rsidRDefault="00FE60FC" w:rsidP="00EB26B1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Potraživanje za dane zajmove manja su za </w:t>
                        </w:r>
                        <w:r w:rsidR="00EB26B1">
                          <w:rPr>
                            <w:rFonts w:ascii="Arial" w:hAnsi="Arial" w:cs="Arial"/>
                          </w:rPr>
                          <w:t>10</w:t>
                        </w:r>
                        <w:r w:rsidRPr="00683EE9">
                          <w:rPr>
                            <w:rFonts w:ascii="Arial" w:hAnsi="Arial" w:cs="Arial"/>
                          </w:rPr>
                          <w:t>,4% od početnog stanja i  datiraju iz ranijih godina, a evidentiraju se u poslovnim knjigama temeljem izvršenih uplata (povrat zajma) u državni proračun, izvješće banke o stanju zajmova i prekoračenje dospijeća istih. Na dan bilance za iskazano potraživanje proveden je ispravak vrijednosti p</w:t>
                        </w:r>
                        <w:r w:rsidR="00EB26B1">
                          <w:rPr>
                            <w:rFonts w:ascii="Arial" w:hAnsi="Arial" w:cs="Arial"/>
                          </w:rPr>
                          <w:t>otraživanja  u iznosu od cca 2,6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 (sukladno točci 37.a Pravilnika) . Naplata i analitička evidencija zajmova u nadležnosti je Zagrebačke banke, sukladno sklopljenom ugovoru o komisionom poslu.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387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2E30A5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153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86065A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Potraživanja za prihode od imovine </w:t>
                        </w:r>
                        <w:r w:rsidR="002E30A5">
                          <w:rPr>
                            <w:rFonts w:ascii="Arial" w:hAnsi="Arial" w:cs="Arial"/>
                          </w:rPr>
                          <w:t>veća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su u odnosu na početno stanje za cca </w:t>
                        </w:r>
                        <w:r w:rsidR="002E30A5">
                          <w:rPr>
                            <w:rFonts w:ascii="Arial" w:hAnsi="Arial" w:cs="Arial"/>
                          </w:rPr>
                          <w:t>551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2E30A5">
                          <w:rPr>
                            <w:rFonts w:ascii="Arial" w:hAnsi="Arial" w:cs="Arial"/>
                          </w:rPr>
                          <w:t>8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2E30A5">
                          <w:rPr>
                            <w:rFonts w:ascii="Arial" w:hAnsi="Arial" w:cs="Arial"/>
                          </w:rPr>
                          <w:t>tis</w:t>
                        </w:r>
                        <w:r w:rsidRPr="00683EE9">
                          <w:rPr>
                            <w:rFonts w:ascii="Arial" w:hAnsi="Arial" w:cs="Arial"/>
                          </w:rPr>
                          <w:t>.kn odnosno 1</w:t>
                        </w:r>
                        <w:r w:rsidR="002E30A5">
                          <w:rPr>
                            <w:rFonts w:ascii="Arial" w:hAnsi="Arial" w:cs="Arial"/>
                          </w:rPr>
                          <w:t>0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2E30A5">
                          <w:rPr>
                            <w:rFonts w:ascii="Arial" w:hAnsi="Arial" w:cs="Arial"/>
                          </w:rPr>
                          <w:t>3</w:t>
                        </w:r>
                        <w:r w:rsidRPr="00683EE9">
                          <w:rPr>
                            <w:rFonts w:ascii="Arial" w:hAnsi="Arial" w:cs="Arial"/>
                          </w:rPr>
                          <w:t>%. AOP sadrži potraživanja za prod</w:t>
                        </w:r>
                        <w:r>
                          <w:rPr>
                            <w:rFonts w:ascii="Arial" w:hAnsi="Arial" w:cs="Arial"/>
                          </w:rPr>
                          <w:t>ane registarske pločice  i dr.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plative tiskanice, </w:t>
                        </w:r>
                        <w:r>
                          <w:rPr>
                            <w:rFonts w:ascii="Arial" w:hAnsi="Arial" w:cs="Arial"/>
                          </w:rPr>
                          <w:t>zakupe i iznajmljivanja imovine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te prodaje kratkotrajne imovin</w:t>
                        </w:r>
                        <w:r w:rsidR="0086065A">
                          <w:rPr>
                            <w:rFonts w:ascii="Arial" w:hAnsi="Arial" w:cs="Arial"/>
                          </w:rPr>
                          <w:t>e, kamata.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285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154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69029E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Na smanjenje potraživanja od prodaje roba i usluga za </w:t>
                        </w:r>
                        <w:r w:rsidR="0069029E">
                          <w:rPr>
                            <w:rFonts w:ascii="Arial" w:hAnsi="Arial" w:cs="Arial"/>
                          </w:rPr>
                          <w:t>28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69029E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% najviše je utjecalo smanjenje potraživanja s osnova usluga za certificiranje, laboratorijsko ispitivanje, nadgledanje i sl. (djelatnosti bivše EX-agencije).</w:t>
                        </w:r>
                      </w:p>
                    </w:tc>
                  </w:tr>
                  <w:tr w:rsidR="00FE60FC" w:rsidRPr="00683EE9" w:rsidTr="00F10F45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89"/>
                    </w:trPr>
                    <w:tc>
                      <w:tcPr>
                        <w:tcW w:w="34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B12DB7" w:rsidRDefault="00F10F45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F10F45">
                          <w:rPr>
                            <w:rFonts w:ascii="Arial" w:hAnsi="Arial" w:cs="Arial"/>
                          </w:rPr>
                          <w:t>AOP 156</w:t>
                        </w:r>
                      </w:p>
                    </w:tc>
                    <w:tc>
                      <w:tcPr>
                        <w:tcW w:w="4652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0F45" w:rsidRPr="00F10F45" w:rsidRDefault="00F10F45" w:rsidP="00FB6E26">
                        <w:pPr>
                          <w:tabs>
                            <w:tab w:val="left" w:pos="1440"/>
                          </w:tabs>
                          <w:spacing w:after="0" w:line="360" w:lineRule="auto"/>
                          <w:rPr>
                            <w:rFonts w:ascii="Arial" w:hAnsi="Arial" w:cs="Arial"/>
                          </w:rPr>
                        </w:pPr>
                        <w:r w:rsidRPr="00F10F45">
                          <w:rPr>
                            <w:rFonts w:ascii="Arial" w:hAnsi="Arial" w:cs="Arial"/>
                          </w:rPr>
                          <w:t>Saldo novčanih sredstava izvora (31,43,51,52,53,i 61) je u ukupnosti manji za cca 5 %, a na datum bilance iznosi cca 8,5 mil.kn</w:t>
                        </w:r>
                        <w:r w:rsidR="005E7F4B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E60FC" w:rsidRPr="00F10F45" w:rsidRDefault="00F10F45" w:rsidP="00FB6E26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F10F45">
                          <w:rPr>
                            <w:rFonts w:ascii="Arial" w:hAnsi="Arial" w:cs="Arial"/>
                          </w:rPr>
                          <w:t xml:space="preserve">Iskazano po izvorima, odstupanja su:  </w:t>
                        </w:r>
                      </w:p>
                      <w:tbl>
                        <w:tblPr>
                          <w:tblW w:w="8728" w:type="dxa"/>
                          <w:tblLook w:val="04A0" w:firstRow="1" w:lastRow="0" w:firstColumn="1" w:lastColumn="0" w:noHBand="0" w:noVBand="1"/>
                        </w:tblPr>
                        <w:tblGrid>
                          <w:gridCol w:w="742"/>
                          <w:gridCol w:w="889"/>
                          <w:gridCol w:w="1820"/>
                          <w:gridCol w:w="1746"/>
                          <w:gridCol w:w="720"/>
                          <w:gridCol w:w="2960"/>
                        </w:tblGrid>
                        <w:tr w:rsidR="00F10F45" w:rsidRPr="00F10F45" w:rsidTr="00A524DD">
                          <w:trPr>
                            <w:trHeight w:val="675"/>
                          </w:trPr>
                          <w:tc>
                            <w:tcPr>
                              <w:tcW w:w="6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10F45" w:rsidRPr="00FB6E26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B6E26">
                                <w:rPr>
                                  <w:rFonts w:ascii="Arial" w:hAnsi="Arial" w:cs="Arial"/>
                                  <w:b/>
                                </w:rPr>
                                <w:lastRenderedPageBreak/>
                                <w:t>RED. BR.</w:t>
                              </w:r>
                              <w:r w:rsidRPr="00FB6E26">
                                <w:rPr>
                                  <w:rFonts w:ascii="Arial" w:hAnsi="Arial" w:cs="Arial"/>
                                  <w:b/>
                                </w:rPr>
                                <w:br w:type="textWrapping" w:clear="all"/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B6E26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B6E26">
                                <w:rPr>
                                  <w:rFonts w:ascii="Arial" w:hAnsi="Arial" w:cs="Arial"/>
                                  <w:b/>
                                </w:rPr>
                                <w:t>IZVOR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B6E26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B6E26">
                                <w:rPr>
                                  <w:rFonts w:ascii="Arial" w:hAnsi="Arial" w:cs="Arial"/>
                                  <w:b/>
                                </w:rPr>
                                <w:t>1.1.2021.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B6E26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B6E26">
                                <w:rPr>
                                  <w:rFonts w:ascii="Arial" w:hAnsi="Arial" w:cs="Arial"/>
                                  <w:b/>
                                </w:rPr>
                                <w:t>31.12.2021.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B6E26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B6E26">
                                <w:rPr>
                                  <w:rFonts w:ascii="Arial" w:hAnsi="Arial" w:cs="Arial"/>
                                  <w:b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B6E26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B6E26">
                                <w:rPr>
                                  <w:rFonts w:ascii="Arial" w:hAnsi="Arial" w:cs="Arial"/>
                                  <w:b/>
                                </w:rPr>
                                <w:t>OSNOVA NAPLATE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1179"/>
                          </w:trPr>
                          <w:tc>
                            <w:tcPr>
                              <w:tcW w:w="6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3.490.614,43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2.419.533,94   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Prodaja vlastitih roba i usluga IPA BiH-EU, IPA 212 BiH, SBRNL-jačanje kapaciteta forenzike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2490"/>
                          </w:trPr>
                          <w:tc>
                            <w:tcPr>
                              <w:tcW w:w="6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112.384.899,60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126.263.858,24   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Uplate (HAK) za NPSCP, prodaja plativih tiskanica 100%), dobit AKD-a, projekt Eurocontrol (terminalne i rutne naknade za potrage i spašavanje zrakoplova, naknade za korištenje opće koristi funkcija šuma, garancije za otklanjanje  nedostatka pri izgradnji 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1318"/>
                          </w:trPr>
                          <w:tc>
                            <w:tcPr>
                              <w:tcW w:w="6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24.484.054,15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23.232.376,77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IPA 2012/2012, prijelazni instrument HCR, DE-MINE, HUSAR-CERTIF hrv. modula, LOT, projekt NO RISK BASE,CEPOL, OBZOR, HORIZON, PER DIEM, FRONTEX, projekt JA TERROR i dr. 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499"/>
                          </w:trPr>
                          <w:tc>
                            <w:tcPr>
                              <w:tcW w:w="6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18.698.189,68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774.235,14   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Grad Zagreb, županija za projekte, gradovi i županije za energetsku obnovu zgrada, HZZ (stručno osposobljavanje)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810"/>
                          </w:trPr>
                          <w:tc>
                            <w:tcPr>
                              <w:tcW w:w="6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4.567.235,73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2.892.915,64   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NATO (tekući i kapitalne izdaci civilne zaštite)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825"/>
                          </w:trPr>
                          <w:tc>
                            <w:tcPr>
                              <w:tcW w:w="6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458.143,05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Turist zajednica- sufinanciranje,  donacije fizičkih osoba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499"/>
                          </w:trPr>
                          <w:tc>
                            <w:tcPr>
                              <w:tcW w:w="64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5.937.418,13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 xml:space="preserve">5.984.927,02   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10F45">
                                <w:rPr>
                                  <w:rFonts w:ascii="Arial" w:hAnsi="Arial" w:cs="Arial"/>
                                </w:rPr>
                                <w:t>jamčevine, depoziti i sl.</w:t>
                              </w:r>
                            </w:p>
                          </w:tc>
                        </w:tr>
                        <w:tr w:rsidR="00F10F45" w:rsidRPr="00F10F45" w:rsidTr="00A524DD">
                          <w:trPr>
                            <w:trHeight w:val="559"/>
                          </w:trPr>
                          <w:tc>
                            <w:tcPr>
                              <w:tcW w:w="150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EA6968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A6968">
                                <w:rPr>
                                  <w:rFonts w:ascii="Arial" w:hAnsi="Arial" w:cs="Arial"/>
                                  <w:b/>
                                </w:rPr>
                                <w:t>UKUPNO</w:t>
                              </w:r>
                            </w:p>
                          </w:tc>
                          <w:tc>
                            <w:tcPr>
                              <w:tcW w:w="18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10F45" w:rsidRPr="00EA6968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A6968">
                                <w:rPr>
                                  <w:rFonts w:ascii="Arial" w:hAnsi="Arial" w:cs="Arial"/>
                                  <w:b/>
                                </w:rPr>
                                <w:t xml:space="preserve">170.020.554,77   </w:t>
                              </w: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F10F45" w:rsidRPr="00EA6968" w:rsidRDefault="00F10F45" w:rsidP="00F10F4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A6968">
                                <w:rPr>
                                  <w:rFonts w:ascii="Arial" w:hAnsi="Arial" w:cs="Arial"/>
                                  <w:b/>
                                </w:rPr>
                                <w:t>161.567.846,75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F10F45" w:rsidRPr="00EA6968" w:rsidRDefault="00EA6968" w:rsidP="00EA696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A6968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F10F45" w:rsidRPr="00EA6968">
                                <w:rPr>
                                  <w:rFonts w:ascii="Arial" w:hAnsi="Arial" w:cs="Arial"/>
                                  <w:b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10F45" w:rsidRPr="00F10F45" w:rsidRDefault="00F10F45" w:rsidP="00F10F4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FE60FC" w:rsidRPr="00F10F45" w:rsidRDefault="00FE60FC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10F45" w:rsidRDefault="00FE60FC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  <w:r w:rsidRPr="00F10F45">
                          <w:rPr>
                            <w:rFonts w:ascii="Arial" w:hAnsi="Arial" w:cs="Arial"/>
                          </w:rPr>
                          <w:lastRenderedPageBreak/>
                          <w:t>AOP 1</w:t>
                        </w:r>
                        <w:r w:rsidR="00F10F45" w:rsidRPr="00F10F45">
                          <w:rPr>
                            <w:rFonts w:ascii="Arial" w:hAnsi="Arial" w:cs="Arial"/>
                          </w:rPr>
                          <w:t>57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0F45" w:rsidRPr="00F10F45" w:rsidRDefault="00F10F45" w:rsidP="00F10F45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10F45">
                          <w:rPr>
                            <w:rFonts w:ascii="Arial" w:hAnsi="Arial" w:cs="Arial"/>
                          </w:rPr>
                          <w:t>Potraživanje s osnova kazni za prekršaje u poslovnim knjigama prate se evidentno, a usklađuju se s iskazom iz analitičkih evidencija koje se prate u posebnom informacijskom sustav policije.</w:t>
                        </w:r>
                      </w:p>
                      <w:p w:rsidR="00FE60FC" w:rsidRPr="00B12DB7" w:rsidRDefault="00F10F45" w:rsidP="00FE60FC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F10F45">
                          <w:rPr>
                            <w:rFonts w:ascii="Arial" w:hAnsi="Arial" w:cs="Arial"/>
                          </w:rPr>
                          <w:t>Na dan 31.12.2021. god. iskazano je povećanje potraživanja za cca 40,5 mil.kn (10,27 %). Od ukupno iskazanih potraživanja (435,7 mil.kn) prema podacima posebnog  informacijskog sustava,  u dospijeću je cca 261,9 mil.kn.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160</w:t>
                        </w:r>
                      </w:p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A61081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Potraživanja od prodaje proizvedene dugotrajne imovine manja su za </w:t>
                        </w:r>
                        <w:r w:rsidR="00A61081">
                          <w:rPr>
                            <w:rFonts w:ascii="Arial" w:hAnsi="Arial" w:cs="Arial"/>
                          </w:rPr>
                          <w:t>26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A61081">
                          <w:rPr>
                            <w:rFonts w:ascii="Arial" w:hAnsi="Arial" w:cs="Arial"/>
                          </w:rPr>
                          <w:t>2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%, ili nominalno iskazano za cca 9,</w:t>
                        </w:r>
                        <w:r w:rsidR="00A61081">
                          <w:rPr>
                            <w:rFonts w:ascii="Arial" w:hAnsi="Arial" w:cs="Arial"/>
                          </w:rPr>
                          <w:t>8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mil.kn. Isto se odnosi za potraživanja od prodaje stanova u vlasništvu RH. Sukladno ugovoru, potraživanja s osnova prodaje stanova prati  PBZ te se temeljem mjesečnih izvješća banke vrše usklađenja stanja u poslovnim knjiga MUP-a. Na dan 31.12.202</w:t>
                        </w:r>
                        <w:r w:rsidR="00A61081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. potraživanja iznose cca </w:t>
                        </w:r>
                        <w:r w:rsidR="00A61081">
                          <w:rPr>
                            <w:rFonts w:ascii="Arial" w:hAnsi="Arial" w:cs="Arial"/>
                          </w:rPr>
                          <w:t>27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A61081">
                          <w:rPr>
                            <w:rFonts w:ascii="Arial" w:hAnsi="Arial" w:cs="Arial"/>
                          </w:rPr>
                          <w:t>6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mil.kn, a evidentiran ispravak vrijednosti za dospjela prekoračenja iznosi cca </w:t>
                        </w:r>
                        <w:r w:rsidR="00A61081">
                          <w:rPr>
                            <w:rFonts w:ascii="Arial" w:hAnsi="Arial" w:cs="Arial"/>
                          </w:rPr>
                          <w:t>7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A61081">
                          <w:rPr>
                            <w:rFonts w:ascii="Arial" w:hAnsi="Arial" w:cs="Arial"/>
                          </w:rPr>
                          <w:t>3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mil.kn.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</w:t>
                        </w:r>
                        <w:r w:rsidR="00047C01">
                          <w:rPr>
                            <w:rFonts w:ascii="Arial" w:hAnsi="Arial" w:cs="Arial"/>
                          </w:rPr>
                          <w:t>OP 168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072DF3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Kontinuirani rashodi budućih razdoblja u odnosu na početno stanje iskazuju </w:t>
                        </w:r>
                        <w:r w:rsidR="00047C01">
                          <w:rPr>
                            <w:rFonts w:ascii="Arial" w:hAnsi="Arial" w:cs="Arial"/>
                          </w:rPr>
                          <w:t>4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047C01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%  povećanja, dok nominalno iskazano povećanje iznosi cca </w:t>
                        </w:r>
                        <w:r w:rsidR="00047C01">
                          <w:rPr>
                            <w:rFonts w:ascii="Arial" w:hAnsi="Arial" w:cs="Arial"/>
                          </w:rPr>
                          <w:t>14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047C01">
                          <w:rPr>
                            <w:rFonts w:ascii="Arial" w:hAnsi="Arial" w:cs="Arial"/>
                          </w:rPr>
                          <w:t>5</w:t>
                        </w:r>
                        <w:r w:rsidR="00072DF3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83EE9">
                          <w:rPr>
                            <w:rFonts w:ascii="Arial" w:hAnsi="Arial" w:cs="Arial"/>
                          </w:rPr>
                          <w:t>mil.kn. AOP sadrži obračune plaća i naknade, ugovora o djelu, autorske honorare, stipendije, rente za prosinac 202</w:t>
                        </w:r>
                        <w:r w:rsidR="00047C01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.god., koje će kao 13 rata teretiti naredno razdoblje.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B819E7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172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B819E7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Obveze za zaposlene veće su u odnosu na početno stanje za </w:t>
                        </w:r>
                        <w:r w:rsidR="00B819E7">
                          <w:rPr>
                            <w:rFonts w:ascii="Arial" w:hAnsi="Arial" w:cs="Arial"/>
                          </w:rPr>
                          <w:t>4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B819E7">
                          <w:rPr>
                            <w:rFonts w:ascii="Arial" w:hAnsi="Arial" w:cs="Arial"/>
                          </w:rPr>
                          <w:t>9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% i odnose se na plaću za prosinac 202</w:t>
                        </w:r>
                        <w:r w:rsidR="00B819E7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. god (13. plaća) koja je evidentirana na razgraničenju i teretiti će 202</w:t>
                        </w:r>
                        <w:r w:rsidR="00B819E7">
                          <w:rPr>
                            <w:rFonts w:ascii="Arial" w:hAnsi="Arial" w:cs="Arial"/>
                          </w:rPr>
                          <w:t>2</w:t>
                        </w:r>
                        <w:r w:rsidRPr="00683EE9">
                          <w:rPr>
                            <w:rFonts w:ascii="Arial" w:hAnsi="Arial" w:cs="Arial"/>
                          </w:rPr>
                          <w:t>. godinu.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985993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173</w:t>
                        </w:r>
                      </w:p>
                      <w:p w:rsidR="00FE60FC" w:rsidRPr="00683EE9" w:rsidRDefault="00FE60FC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8306BE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Obveze za materijalne rashode iskazuju </w:t>
                        </w:r>
                        <w:r w:rsidR="00985993">
                          <w:rPr>
                            <w:rFonts w:ascii="Arial" w:hAnsi="Arial" w:cs="Arial"/>
                          </w:rPr>
                          <w:t>povećanje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za </w:t>
                        </w:r>
                        <w:r w:rsidR="00985993">
                          <w:rPr>
                            <w:rFonts w:ascii="Arial" w:hAnsi="Arial" w:cs="Arial"/>
                          </w:rPr>
                          <w:t>17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985993">
                          <w:rPr>
                            <w:rFonts w:ascii="Arial" w:hAnsi="Arial" w:cs="Arial"/>
                          </w:rPr>
                          <w:t>1</w:t>
                        </w:r>
                        <w:r w:rsidR="0040015A">
                          <w:rPr>
                            <w:rFonts w:ascii="Arial" w:hAnsi="Arial" w:cs="Arial"/>
                          </w:rPr>
                          <w:t xml:space="preserve">%. </w:t>
                        </w:r>
                        <w:r w:rsidRPr="00683EE9">
                          <w:rPr>
                            <w:rFonts w:ascii="Arial" w:hAnsi="Arial" w:cs="Arial"/>
                          </w:rPr>
                          <w:t>Od ukupno iskazanih obveza (cca 1</w:t>
                        </w:r>
                        <w:r w:rsidR="0032254F">
                          <w:rPr>
                            <w:rFonts w:ascii="Arial" w:hAnsi="Arial" w:cs="Arial"/>
                          </w:rPr>
                          <w:t>42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32254F">
                          <w:rPr>
                            <w:rFonts w:ascii="Arial" w:hAnsi="Arial" w:cs="Arial"/>
                          </w:rPr>
                          <w:t>1</w:t>
                        </w:r>
                        <w:r w:rsidR="00E50485">
                          <w:rPr>
                            <w:rFonts w:ascii="Arial" w:hAnsi="Arial" w:cs="Arial"/>
                          </w:rPr>
                          <w:t xml:space="preserve"> mil. kn) </w:t>
                        </w:r>
                        <w:r w:rsidRPr="00683EE9">
                          <w:rPr>
                            <w:rFonts w:ascii="Arial" w:hAnsi="Arial" w:cs="Arial"/>
                          </w:rPr>
                          <w:t>2</w:t>
                        </w:r>
                        <w:r w:rsidR="00F52557">
                          <w:rPr>
                            <w:rFonts w:ascii="Arial" w:hAnsi="Arial" w:cs="Arial"/>
                          </w:rPr>
                          <w:t>6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% odnosi se na dospjele obveze. Najznačajnije prekoračenje odnosi se na obveze prema tvrtki </w:t>
                        </w:r>
                        <w:r w:rsidR="002E41D6">
                          <w:rPr>
                            <w:rFonts w:ascii="Arial" w:hAnsi="Arial" w:cs="Arial"/>
                          </w:rPr>
                          <w:t>HT d.d. (cca 4,</w:t>
                        </w:r>
                        <w:r w:rsidR="008306BE">
                          <w:rPr>
                            <w:rFonts w:ascii="Arial" w:hAnsi="Arial" w:cs="Arial"/>
                          </w:rPr>
                          <w:t>5</w:t>
                        </w:r>
                        <w:r w:rsidR="002E41D6">
                          <w:rPr>
                            <w:rFonts w:ascii="Arial" w:hAnsi="Arial" w:cs="Arial"/>
                          </w:rPr>
                          <w:t xml:space="preserve"> mil.kn), INA d.d. (cca 2,1 mil.kn), TEKSTILPROME</w:t>
                        </w:r>
                        <w:r w:rsidR="00964956">
                          <w:rPr>
                            <w:rFonts w:ascii="Arial" w:hAnsi="Arial" w:cs="Arial"/>
                          </w:rPr>
                          <w:t>T</w:t>
                        </w:r>
                        <w:r w:rsidR="002E41D6">
                          <w:rPr>
                            <w:rFonts w:ascii="Arial" w:hAnsi="Arial" w:cs="Arial"/>
                          </w:rPr>
                          <w:t xml:space="preserve"> (cca 1,3 mil.kn), </w:t>
                        </w:r>
                        <w:r w:rsidR="008306BE">
                          <w:rPr>
                            <w:rFonts w:ascii="Arial" w:hAnsi="Arial" w:cs="Arial"/>
                          </w:rPr>
                          <w:t xml:space="preserve">VULKAL d.o.o. (cca 963,0 tis.kn), VODOOPSKRBA I ODVODNJA d.o.o. (cca 955,2 tis.kn), HRVATSKA POŠTA d.d. (cca 889,6 tis.kn), ATALIAN GLOBAL SERVICES CROATIA (cca 845,4 tis.kn), MEĐIMURJEPLIN d.o.o. (cca </w:t>
                        </w:r>
                        <w:r w:rsidR="008306BE">
                          <w:rPr>
                            <w:rFonts w:ascii="Arial" w:hAnsi="Arial" w:cs="Arial"/>
                          </w:rPr>
                          <w:lastRenderedPageBreak/>
                          <w:t>688,5 tis.kn)</w:t>
                        </w:r>
                        <w:r w:rsidR="00B47BC3">
                          <w:rPr>
                            <w:rFonts w:ascii="Arial" w:hAnsi="Arial" w:cs="Arial"/>
                          </w:rPr>
                          <w:t xml:space="preserve">, GRADSKA PLINARA ZAGREB OPSKRBA d.o.o. (cca 521,4 tis.kn), HEP TOPLINARSTVO d.o.o. (cca 521,3 tis.kn), </w:t>
                        </w:r>
                        <w:r w:rsidR="002E41D6">
                          <w:rPr>
                            <w:rFonts w:ascii="Arial" w:hAnsi="Arial" w:cs="Arial"/>
                          </w:rPr>
                          <w:t>A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KD d.o.o. </w:t>
                        </w:r>
                        <w:r w:rsidR="002E41D6">
                          <w:rPr>
                            <w:rFonts w:ascii="Arial" w:hAnsi="Arial" w:cs="Arial"/>
                          </w:rPr>
                          <w:t xml:space="preserve">(cca 900,0 tis.kn)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za usluge izrade plativih tiskanica. Budući se troškovi izrade tiskanica financiraju od </w:t>
                        </w:r>
                        <w:r w:rsidR="00B03872">
                          <w:rPr>
                            <w:rFonts w:ascii="Arial" w:hAnsi="Arial" w:cs="Arial"/>
                          </w:rPr>
                          <w:t>10</w:t>
                        </w:r>
                        <w:r w:rsidRPr="00683EE9">
                          <w:rPr>
                            <w:rFonts w:ascii="Arial" w:hAnsi="Arial" w:cs="Arial"/>
                          </w:rPr>
                          <w:t>0 %-tnog ostvarenja naplate od plativih tiskanica</w:t>
                        </w:r>
                        <w:r w:rsidR="00B03872">
                          <w:rPr>
                            <w:rFonts w:ascii="Arial" w:hAnsi="Arial" w:cs="Arial"/>
                          </w:rPr>
                          <w:t>,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2E41D6">
                          <w:rPr>
                            <w:rFonts w:ascii="Arial" w:hAnsi="Arial" w:cs="Arial"/>
                          </w:rPr>
                          <w:t xml:space="preserve">te se sukladno tome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dospijeća obveza prema dobavljaču AKD </w:t>
                        </w:r>
                        <w:r w:rsidR="00072DF3">
                          <w:rPr>
                            <w:rFonts w:ascii="Arial" w:hAnsi="Arial" w:cs="Arial"/>
                          </w:rPr>
                          <w:t>svodi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u realne okvire.</w:t>
                        </w:r>
                        <w:r w:rsidR="00A737AB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422D48">
                          <w:rPr>
                            <w:rFonts w:ascii="Arial" w:hAnsi="Arial" w:cs="Arial"/>
                          </w:rPr>
                          <w:t>Ostalo</w:t>
                        </w:r>
                        <w:r w:rsidR="00A737AB">
                          <w:rPr>
                            <w:rFonts w:ascii="Arial" w:hAnsi="Arial" w:cs="Arial"/>
                          </w:rPr>
                          <w:t xml:space="preserve"> prekoračenje je nastalo uglavnom zbog kašnjenja računa (</w:t>
                        </w:r>
                        <w:r w:rsidR="00BA5C59">
                          <w:rPr>
                            <w:rFonts w:ascii="Arial" w:hAnsi="Arial" w:cs="Arial"/>
                          </w:rPr>
                          <w:t xml:space="preserve">za </w:t>
                        </w:r>
                        <w:r w:rsidR="00A737AB">
                          <w:rPr>
                            <w:rFonts w:ascii="Arial" w:hAnsi="Arial" w:cs="Arial"/>
                          </w:rPr>
                          <w:t>usluge) i vraćanja sa ovjere da bi se isti plati</w:t>
                        </w:r>
                        <w:r w:rsidR="00422D48">
                          <w:rPr>
                            <w:rFonts w:ascii="Arial" w:hAnsi="Arial" w:cs="Arial"/>
                          </w:rPr>
                          <w:t>li</w:t>
                        </w:r>
                        <w:r w:rsidR="00A737AB"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CD2F61" w:rsidRPr="00CD2F61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CD2F61" w:rsidRDefault="00CD2F61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  <w:r w:rsidRPr="00CD2F61">
                          <w:rPr>
                            <w:rFonts w:ascii="Arial" w:hAnsi="Arial" w:cs="Arial"/>
                          </w:rPr>
                          <w:lastRenderedPageBreak/>
                          <w:t>AOP 174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CD2F61" w:rsidRDefault="00CD2F61" w:rsidP="00CD2F61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D2F61">
                          <w:rPr>
                            <w:rFonts w:ascii="Arial" w:hAnsi="Arial" w:cs="Arial"/>
                          </w:rPr>
                          <w:t>Iako je prekoračenje obveza za financijske rashode (kamate, bankarske usluge)</w:t>
                        </w:r>
                        <w:r w:rsidR="00766400">
                          <w:rPr>
                            <w:rFonts w:ascii="Arial" w:hAnsi="Arial" w:cs="Arial"/>
                          </w:rPr>
                          <w:t xml:space="preserve"> veće za</w:t>
                        </w:r>
                        <w:r w:rsidRPr="00CD2F61">
                          <w:rPr>
                            <w:rFonts w:ascii="Arial" w:hAnsi="Arial" w:cs="Arial"/>
                          </w:rPr>
                          <w:t xml:space="preserve"> 87%, najveće povećanje iskazano je </w:t>
                        </w:r>
                        <w:r w:rsidR="00766400">
                          <w:rPr>
                            <w:rFonts w:ascii="Arial" w:hAnsi="Arial" w:cs="Arial"/>
                          </w:rPr>
                          <w:t xml:space="preserve">na </w:t>
                        </w:r>
                        <w:r w:rsidRPr="00CD2F61">
                          <w:rPr>
                            <w:rFonts w:ascii="Arial" w:hAnsi="Arial" w:cs="Arial"/>
                          </w:rPr>
                          <w:t>obvezama za ostale fin</w:t>
                        </w:r>
                        <w:r w:rsidR="00766400">
                          <w:rPr>
                            <w:rFonts w:ascii="Arial" w:hAnsi="Arial" w:cs="Arial"/>
                          </w:rPr>
                          <w:t>ancijske rashode (188,4%) a isto</w:t>
                        </w:r>
                        <w:r w:rsidRPr="00CD2F61">
                          <w:rPr>
                            <w:rFonts w:ascii="Arial" w:hAnsi="Arial" w:cs="Arial"/>
                          </w:rPr>
                          <w:t xml:space="preserve"> se odnose na zatezne kamate za režijske troškove.</w:t>
                        </w:r>
                      </w:p>
                    </w:tc>
                  </w:tr>
                  <w:tr w:rsidR="00F46305" w:rsidRPr="00F46305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F46305" w:rsidRDefault="00F46305" w:rsidP="00FE60FC">
                        <w:pPr>
                          <w:tabs>
                            <w:tab w:val="left" w:pos="1440"/>
                          </w:tabs>
                          <w:ind w:right="-114"/>
                          <w:rPr>
                            <w:rFonts w:ascii="Arial" w:hAnsi="Arial" w:cs="Arial"/>
                          </w:rPr>
                        </w:pPr>
                        <w:r w:rsidRPr="00F46305">
                          <w:rPr>
                            <w:rFonts w:ascii="Arial" w:hAnsi="Arial" w:cs="Arial"/>
                          </w:rPr>
                          <w:t>AOP 180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F46305" w:rsidRDefault="00F46305" w:rsidP="00F46305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46305">
                          <w:rPr>
                            <w:rFonts w:ascii="Arial" w:hAnsi="Arial" w:cs="Arial"/>
                          </w:rPr>
                          <w:t xml:space="preserve">Obveze za naknade građanima i kućanstvima manje su u odnosu na prethodno razdoblje za 75,6%. Isto se odnosi na obračune naknada za prosinac 2021.god. (prekvalifikanti, stipendije), iste su evidentirane na razgraničenju i teretit će 2022.god. </w:t>
                        </w:r>
                      </w:p>
                    </w:tc>
                  </w:tr>
                  <w:tr w:rsidR="007B50C2" w:rsidRPr="007B50C2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28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7B50C2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7B50C2">
                          <w:rPr>
                            <w:rFonts w:ascii="Arial" w:hAnsi="Arial" w:cs="Arial"/>
                          </w:rPr>
                          <w:t>AOP</w:t>
                        </w:r>
                        <w:r w:rsidR="007B50C2" w:rsidRPr="007B50C2">
                          <w:rPr>
                            <w:rFonts w:ascii="Arial" w:hAnsi="Arial" w:cs="Arial"/>
                          </w:rPr>
                          <w:t xml:space="preserve"> 181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7B50C2" w:rsidRDefault="007B50C2" w:rsidP="007B50C2">
                        <w:pPr>
                          <w:tabs>
                            <w:tab w:val="left" w:pos="1440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 w:rsidRPr="007B50C2">
                          <w:rPr>
                            <w:rFonts w:ascii="Arial" w:hAnsi="Arial" w:cs="Arial"/>
                          </w:rPr>
                          <w:t xml:space="preserve">Obveze za kazne, naknade šteta i kapitalne pomoći manje su od početnog stanja za 1 %, što se odnosi na nagodbe iz radnog odnosa. </w:t>
                        </w:r>
                      </w:p>
                    </w:tc>
                  </w:tr>
                  <w:tr w:rsidR="00024018" w:rsidRPr="00024018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28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024018" w:rsidRDefault="00024018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024018">
                          <w:rPr>
                            <w:rFonts w:ascii="Arial" w:hAnsi="Arial" w:cs="Arial"/>
                          </w:rPr>
                          <w:t>AOP 182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024018" w:rsidRDefault="00024018" w:rsidP="00024018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024018">
                          <w:rPr>
                            <w:rFonts w:ascii="Arial" w:hAnsi="Arial" w:cs="Arial"/>
                          </w:rPr>
                          <w:t>Ostale tekuće obveze iskazuju smanjenje od 12,3%, odnosno nominalno iskazano povećanje za 9,7 mil.kn. Iako AOP sadrži obveze za EU predujmove, PDV, jamčevine (za uredno izvršenje ugovornih obveza i sl.), obveza za povrat neutrošenih sredstava i sl., najznačajnije povećanje odnosi se na obveze za bolovanja na teret HZZO-a i ozljeda na radu za koja tijekom 2020,god. nije provedena kompenzacija s MIF-om, a u 2021. god. je provedena samo djelomično za bolovanja na teret HZZO-a ali ne i za ozljede na radu.</w:t>
                        </w:r>
                        <w:r w:rsidR="00FE60FC" w:rsidRPr="0002401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28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683EE9" w:rsidRDefault="00BA5C59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183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F7D70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Obveze za nabavu nefinancijsk</w:t>
                        </w:r>
                        <w:r w:rsidR="00BA5C59">
                          <w:rPr>
                            <w:rFonts w:ascii="Arial" w:hAnsi="Arial" w:cs="Arial"/>
                          </w:rPr>
                          <w:t>e imovine manj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e su za </w:t>
                        </w:r>
                        <w:r w:rsidR="00BA5C59">
                          <w:rPr>
                            <w:rFonts w:ascii="Arial" w:hAnsi="Arial" w:cs="Arial"/>
                          </w:rPr>
                          <w:t>68,7</w:t>
                        </w:r>
                        <w:r w:rsidRPr="00683EE9">
                          <w:rPr>
                            <w:rFonts w:ascii="Arial" w:hAnsi="Arial" w:cs="Arial"/>
                          </w:rPr>
                          <w:t>% od početnog stanja. O</w:t>
                        </w:r>
                        <w:r w:rsidR="00BA5C59">
                          <w:rPr>
                            <w:rFonts w:ascii="Arial" w:hAnsi="Arial" w:cs="Arial"/>
                          </w:rPr>
                          <w:t>d ukupno iskazanih obveza (cca 12</w:t>
                        </w:r>
                        <w:r w:rsidRPr="00683EE9">
                          <w:rPr>
                            <w:rFonts w:ascii="Arial" w:hAnsi="Arial" w:cs="Arial"/>
                          </w:rPr>
                          <w:t>,6 mil.kn) dospjelo je cca 1,</w:t>
                        </w:r>
                        <w:r w:rsidR="009F7C5D">
                          <w:rPr>
                            <w:rFonts w:ascii="Arial" w:hAnsi="Arial" w:cs="Arial"/>
                          </w:rPr>
                          <w:t>3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mil.kn. Isto se </w:t>
                        </w:r>
                        <w:r w:rsidR="007525B4">
                          <w:rPr>
                            <w:rFonts w:ascii="Arial" w:hAnsi="Arial" w:cs="Arial"/>
                          </w:rPr>
                          <w:t xml:space="preserve">većim dijelom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odnosi na račune </w:t>
                        </w:r>
                        <w:r w:rsidR="007525B4">
                          <w:rPr>
                            <w:rFonts w:ascii="Arial" w:hAnsi="Arial" w:cs="Arial"/>
                          </w:rPr>
                          <w:t xml:space="preserve">iz projekta T879003 (Hitna pomoć – Fond za unutarnju sigurnost) i projekt T863016 (NATO SPS) </w:t>
                        </w:r>
                        <w:r w:rsidRPr="00683EE9">
                          <w:rPr>
                            <w:rFonts w:ascii="Arial" w:hAnsi="Arial" w:cs="Arial"/>
                          </w:rPr>
                          <w:t>za koje do 31.12.202</w:t>
                        </w:r>
                        <w:r w:rsidR="00FF7D70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. nije izvršena procedura protokola ovjere i odobrenje plaćanja od korisnika i odgovornog tijela.</w:t>
                        </w:r>
                      </w:p>
                    </w:tc>
                  </w:tr>
                  <w:tr w:rsidR="0088051B" w:rsidRPr="0088051B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28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E60FC" w:rsidRPr="0088051B" w:rsidRDefault="00BA5C59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88051B">
                          <w:rPr>
                            <w:rFonts w:ascii="Arial" w:hAnsi="Arial" w:cs="Arial"/>
                          </w:rPr>
                          <w:t>AOP 209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88051B" w:rsidRDefault="0088051B" w:rsidP="00B35CA4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88051B">
                          <w:rPr>
                            <w:rFonts w:ascii="Arial" w:hAnsi="Arial" w:cs="Arial"/>
                          </w:rPr>
                          <w:t xml:space="preserve">Obveze za zajmove od tuzemnih trgovačkih društava izvan javnog sektora manje su u odnosu na početno stanje za 41,1%, odnosno nominalno iskazano za cca 1,5 mil.kn. AOP sadrži obveze po kreditu i to </w:t>
                        </w:r>
                        <w:r w:rsidR="00B35CA4">
                          <w:rPr>
                            <w:rFonts w:ascii="Arial" w:hAnsi="Arial" w:cs="Arial"/>
                          </w:rPr>
                          <w:t>za f</w:t>
                        </w:r>
                        <w:r w:rsidRPr="0088051B">
                          <w:rPr>
                            <w:rFonts w:ascii="Arial" w:hAnsi="Arial" w:cs="Arial"/>
                          </w:rPr>
                          <w:t xml:space="preserve">inancijski leasing za nabavu 10 kombi vozila po Ugovorima sa tvrtkom Porsche Leasing d.o.o. (iz 2018.god.), koji se otplaćuje u 12 rata. Saldo obveza po kreditnoj obvezi na dan 31.12.2021.god. iznosi 2.119.198,20 kn. </w:t>
                        </w:r>
                      </w:p>
                    </w:tc>
                  </w:tr>
                  <w:tr w:rsidR="00FE60FC" w:rsidRPr="00683EE9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28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756932" w:rsidP="00FE60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AOP 234</w:t>
                        </w:r>
                        <w:r w:rsidR="008A1B9D">
                          <w:rPr>
                            <w:rFonts w:ascii="Arial" w:hAnsi="Arial" w:cs="Arial"/>
                          </w:rPr>
                          <w:t xml:space="preserve">  2</w:t>
                        </w:r>
                        <w:r w:rsidR="0088051B">
                          <w:rPr>
                            <w:rFonts w:ascii="Arial" w:hAnsi="Arial" w:cs="Arial"/>
                          </w:rPr>
                          <w:t>38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2388" w:rsidRDefault="00FE60FC" w:rsidP="00692388">
                        <w:p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 xml:space="preserve">Unutar navedenog AOP-a evidentirani su rezultati poslovanja na kraju poslovne godine, razvrstano po računima rezultata viškova i manjkova, za prihode poslovanja, prihode od nefinancijske imovine i prihode od financijske imovine. Rezultati poslovanja iskazani su na: višku prihoda </w:t>
                        </w:r>
                        <w:r w:rsidR="00756932">
                          <w:rPr>
                            <w:rFonts w:ascii="Arial" w:hAnsi="Arial" w:cs="Arial"/>
                          </w:rPr>
                          <w:t>od nefinancijske imovine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u iznosu </w:t>
                        </w:r>
                        <w:r w:rsidR="00756932">
                          <w:rPr>
                            <w:rFonts w:ascii="Arial" w:hAnsi="Arial" w:cs="Arial"/>
                          </w:rPr>
                          <w:t>39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756932">
                          <w:rPr>
                            <w:rFonts w:ascii="Arial" w:hAnsi="Arial" w:cs="Arial"/>
                          </w:rPr>
                          <w:t>748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756932">
                          <w:rPr>
                            <w:rFonts w:ascii="Arial" w:hAnsi="Arial" w:cs="Arial"/>
                          </w:rPr>
                          <w:t>143,</w:t>
                        </w:r>
                        <w:r w:rsidR="00B73427">
                          <w:rPr>
                            <w:rFonts w:ascii="Arial" w:hAnsi="Arial" w:cs="Arial"/>
                          </w:rPr>
                          <w:t>16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kn, manjku prihoda </w:t>
                        </w:r>
                        <w:r w:rsidR="00756932">
                          <w:rPr>
                            <w:rFonts w:ascii="Arial" w:hAnsi="Arial" w:cs="Arial"/>
                          </w:rPr>
                          <w:t xml:space="preserve">poslovanja u iznosu od 20.643.249,00 kn i manjku primitaka 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od nefinancijske imovine u iznosu od </w:t>
                        </w:r>
                        <w:r w:rsidR="00756932">
                          <w:rPr>
                            <w:rFonts w:ascii="Arial" w:hAnsi="Arial" w:cs="Arial"/>
                          </w:rPr>
                          <w:t>1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756932">
                          <w:rPr>
                            <w:rFonts w:ascii="Arial" w:hAnsi="Arial" w:cs="Arial"/>
                          </w:rPr>
                          <w:t>477</w:t>
                        </w:r>
                        <w:r w:rsidRPr="00683EE9">
                          <w:rPr>
                            <w:rFonts w:ascii="Arial" w:hAnsi="Arial" w:cs="Arial"/>
                          </w:rPr>
                          <w:t>.</w:t>
                        </w:r>
                        <w:r w:rsidR="00756932">
                          <w:rPr>
                            <w:rFonts w:ascii="Arial" w:hAnsi="Arial" w:cs="Arial"/>
                          </w:rPr>
                          <w:t>401</w:t>
                        </w:r>
                        <w:r w:rsidRPr="00683EE9">
                          <w:rPr>
                            <w:rFonts w:ascii="Arial" w:hAnsi="Arial" w:cs="Arial"/>
                          </w:rPr>
                          <w:t>,</w:t>
                        </w:r>
                        <w:r w:rsidR="00B73427">
                          <w:rPr>
                            <w:rFonts w:ascii="Arial" w:hAnsi="Arial" w:cs="Arial"/>
                          </w:rPr>
                          <w:t>05</w:t>
                        </w:r>
                        <w:r w:rsidRPr="00683EE9">
                          <w:rPr>
                            <w:rFonts w:ascii="Arial" w:hAnsi="Arial" w:cs="Arial"/>
                          </w:rPr>
                          <w:t xml:space="preserve"> kn. Isti su utvrđeni temeljem:</w:t>
                        </w:r>
                      </w:p>
                      <w:p w:rsidR="00692388" w:rsidRPr="00692388" w:rsidRDefault="00FE60FC" w:rsidP="00692388">
                        <w:pPr>
                          <w:pStyle w:val="Odlomakpopisa"/>
                          <w:numPr>
                            <w:ilvl w:val="0"/>
                            <w:numId w:val="4"/>
                          </w:numPr>
                          <w:tabs>
                            <w:tab w:val="left" w:pos="1440"/>
                          </w:tabs>
                          <w:spacing w:after="0" w:line="360" w:lineRule="auto"/>
                          <w:rPr>
                            <w:rFonts w:ascii="Arial" w:hAnsi="Arial" w:cs="Arial"/>
                          </w:rPr>
                        </w:pPr>
                        <w:r w:rsidRPr="00692388">
                          <w:rPr>
                            <w:rFonts w:ascii="Arial" w:hAnsi="Arial" w:cs="Arial"/>
                          </w:rPr>
                          <w:t>raspoloživog rezultata, odnosno manjku iz prethodne godine</w:t>
                        </w:r>
                        <w:r w:rsidR="0069238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92388">
                          <w:rPr>
                            <w:rFonts w:ascii="Arial" w:hAnsi="Arial" w:cs="Arial"/>
                          </w:rPr>
                          <w:t xml:space="preserve">- </w:t>
                        </w:r>
                        <w:r w:rsidR="00B80021">
                          <w:rPr>
                            <w:rFonts w:ascii="Arial" w:hAnsi="Arial" w:cs="Arial"/>
                          </w:rPr>
                          <w:t>11</w:t>
                        </w:r>
                        <w:r w:rsidRPr="00692388">
                          <w:rPr>
                            <w:rFonts w:ascii="Arial" w:hAnsi="Arial" w:cs="Arial"/>
                          </w:rPr>
                          <w:t>.</w:t>
                        </w:r>
                        <w:r w:rsidR="00B80021">
                          <w:rPr>
                            <w:rFonts w:ascii="Arial" w:hAnsi="Arial" w:cs="Arial"/>
                          </w:rPr>
                          <w:t>165</w:t>
                        </w:r>
                        <w:r w:rsidRPr="00692388">
                          <w:rPr>
                            <w:rFonts w:ascii="Arial" w:hAnsi="Arial" w:cs="Arial"/>
                          </w:rPr>
                          <w:t>.</w:t>
                        </w:r>
                        <w:r w:rsidR="00B80021">
                          <w:rPr>
                            <w:rFonts w:ascii="Arial" w:hAnsi="Arial" w:cs="Arial"/>
                          </w:rPr>
                          <w:t>565</w:t>
                        </w:r>
                        <w:r w:rsidRPr="00692388">
                          <w:rPr>
                            <w:rFonts w:ascii="Arial" w:hAnsi="Arial" w:cs="Arial"/>
                          </w:rPr>
                          <w:t>,</w:t>
                        </w:r>
                        <w:r w:rsidR="00B73427">
                          <w:rPr>
                            <w:rFonts w:ascii="Arial" w:hAnsi="Arial" w:cs="Arial"/>
                          </w:rPr>
                          <w:t>71</w:t>
                        </w:r>
                        <w:r w:rsidRPr="00692388">
                          <w:rPr>
                            <w:rFonts w:ascii="Arial" w:hAnsi="Arial" w:cs="Arial"/>
                          </w:rPr>
                          <w:t xml:space="preserve"> kn.</w:t>
                        </w:r>
                      </w:p>
                      <w:p w:rsidR="00692388" w:rsidRPr="00692388" w:rsidRDefault="00FE60FC" w:rsidP="00692388">
                        <w:pPr>
                          <w:pStyle w:val="Odlomakpopisa"/>
                          <w:numPr>
                            <w:ilvl w:val="0"/>
                            <w:numId w:val="4"/>
                          </w:numPr>
                          <w:tabs>
                            <w:tab w:val="left" w:pos="1440"/>
                          </w:tabs>
                          <w:spacing w:after="0" w:line="360" w:lineRule="auto"/>
                          <w:rPr>
                            <w:rFonts w:ascii="Arial" w:hAnsi="Arial" w:cs="Arial"/>
                          </w:rPr>
                        </w:pPr>
                        <w:r w:rsidRPr="00692388">
                          <w:rPr>
                            <w:rFonts w:ascii="Arial" w:hAnsi="Arial" w:cs="Arial"/>
                          </w:rPr>
                          <w:t>korekcija rezultata prethodnog ra</w:t>
                        </w:r>
                        <w:r w:rsidR="00692388">
                          <w:rPr>
                            <w:rFonts w:ascii="Arial" w:hAnsi="Arial" w:cs="Arial"/>
                          </w:rPr>
                          <w:t xml:space="preserve">zdoblja tijekom 2020.god. </w:t>
                        </w:r>
                        <w:r w:rsidR="00B80021">
                          <w:rPr>
                            <w:rFonts w:ascii="Arial" w:hAnsi="Arial" w:cs="Arial"/>
                          </w:rPr>
                          <w:t>u iznosu od                 -</w:t>
                        </w:r>
                        <w:r w:rsidR="00692388">
                          <w:rPr>
                            <w:rFonts w:ascii="Arial" w:hAnsi="Arial" w:cs="Arial"/>
                          </w:rPr>
                          <w:t>170.015</w:t>
                        </w:r>
                        <w:r w:rsidR="00B73427">
                          <w:rPr>
                            <w:rFonts w:ascii="Arial" w:hAnsi="Arial" w:cs="Arial"/>
                          </w:rPr>
                          <w:t>,84</w:t>
                        </w:r>
                        <w:r w:rsidRPr="00692388">
                          <w:rPr>
                            <w:rFonts w:ascii="Arial" w:hAnsi="Arial" w:cs="Arial"/>
                          </w:rPr>
                          <w:t xml:space="preserve"> kn </w:t>
                        </w:r>
                      </w:p>
                      <w:p w:rsidR="00FE60FC" w:rsidRPr="00692388" w:rsidRDefault="00FE60FC" w:rsidP="00B73427">
                        <w:pPr>
                          <w:pStyle w:val="Odlomakpopisa"/>
                          <w:numPr>
                            <w:ilvl w:val="0"/>
                            <w:numId w:val="4"/>
                          </w:numPr>
                          <w:tabs>
                            <w:tab w:val="left" w:pos="1440"/>
                          </w:tabs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692388">
                          <w:rPr>
                            <w:rFonts w:ascii="Arial" w:hAnsi="Arial" w:cs="Arial"/>
                          </w:rPr>
                          <w:t xml:space="preserve">temeljem ostvarenog viška tekuće godine u iznosu od </w:t>
                        </w:r>
                        <w:r w:rsidR="00692388">
                          <w:rPr>
                            <w:rFonts w:ascii="Arial" w:hAnsi="Arial" w:cs="Arial"/>
                          </w:rPr>
                          <w:t>28.963.073,</w:t>
                        </w:r>
                        <w:r w:rsidR="00B73427">
                          <w:rPr>
                            <w:rFonts w:ascii="Arial" w:hAnsi="Arial" w:cs="Arial"/>
                          </w:rPr>
                          <w:t>43</w:t>
                        </w:r>
                        <w:r w:rsidRPr="00692388">
                          <w:rPr>
                            <w:rFonts w:ascii="Arial" w:hAnsi="Arial" w:cs="Arial"/>
                          </w:rPr>
                          <w:t xml:space="preserve"> kn, koji je sukladno čl.82 Pravilnika korigiran za naplaćene kapitalne prihode na kontima klase 6.</w:t>
                        </w:r>
                      </w:p>
                    </w:tc>
                  </w:tr>
                  <w:tr w:rsidR="002974FD" w:rsidRPr="002974FD" w:rsidTr="00FE60FC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428"/>
                    </w:trPr>
                    <w:tc>
                      <w:tcPr>
                        <w:tcW w:w="44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2974FD" w:rsidRDefault="002974FD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>AOP 253</w:t>
                        </w:r>
                      </w:p>
                    </w:tc>
                    <w:tc>
                      <w:tcPr>
                        <w:tcW w:w="4553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74FD" w:rsidRPr="002974FD" w:rsidRDefault="002974FD" w:rsidP="002974FD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 xml:space="preserve">Vanbilančna evidencija sadrži materijalnu i financijsku imovinu i obveze, iskazanu kroz tri kategorije i to: tuđa imovina na korištenju, potencijalne obveze po sudskim sporovima i ostali izvanbilančni zapisi. Evidencija imovine i obveza bila je predmet godišnjeg popisa imovine i obveza te popisano stanje odgovara knjigovodstvenom. </w:t>
                        </w:r>
                      </w:p>
                      <w:p w:rsidR="002974FD" w:rsidRPr="002974FD" w:rsidRDefault="002974FD" w:rsidP="002974FD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>Tuđa nefinancijska imovina na korištenje odnosi se na: zemljišta, građevinski objekti za koje nisu potvrđeni imovinsko-pravni odnosi, vozila leasing, zalihe naoružanja i druge opreme izdvojene po Odluci Povjerenstva za odlučivanje o oružju oduzetom u pravomoćno okončanom upravnom, prekršajnom i kaznenom postupku i dr. Evidentirana je sa vrijednostima raspoloživim kod preuzimanja iste na korištenje ili u iznosu od 0,01 kn.</w:t>
                        </w:r>
                      </w:p>
                      <w:p w:rsidR="002974FD" w:rsidRPr="002974FD" w:rsidRDefault="002974FD" w:rsidP="002974FD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 xml:space="preserve">Ista skupina sadrži obveze po Ugovorima (2 Ugovora) iz programa energetske obnove zgrada. Realizacijom istih očekuje se smanjenje troškova energenata (potrošnja vode i plina) na objektima </w:t>
                        </w:r>
                        <w:r w:rsidRPr="002974FD">
                          <w:rPr>
                            <w:rFonts w:ascii="Arial" w:hAnsi="Arial" w:cs="Arial"/>
                          </w:rPr>
                          <w:lastRenderedPageBreak/>
                          <w:t>Policijske akademije, a obveza plaćanja mjesečne naknade je 14, odnosno 15 godina. Na dan 31.12.2021. ukupne obveze za plaćanje naknade iznose 35,3 mil.kn.</w:t>
                        </w:r>
                      </w:p>
                      <w:p w:rsidR="002974FD" w:rsidRPr="002974FD" w:rsidRDefault="002974FD" w:rsidP="002974FD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>Potencijalne obveze po sudskim sporovima evidentirane u vanbilančnoj evidenciji odnose se na obveze i potraživanja MUP-a RH (tabl</w:t>
                        </w:r>
                        <w:r w:rsidR="00C82EA3">
                          <w:rPr>
                            <w:rFonts w:ascii="Arial" w:hAnsi="Arial" w:cs="Arial"/>
                          </w:rPr>
                          <w:t>ica</w:t>
                        </w:r>
                        <w:r w:rsidRPr="002974FD">
                          <w:rPr>
                            <w:rFonts w:ascii="Arial" w:hAnsi="Arial" w:cs="Arial"/>
                          </w:rPr>
                          <w:t xml:space="preserve"> 1 i 2 u prilogu). Iste su usklađene sa analitičkim evidencijama nadležnih službi (pravne, investicija i nekretnina).</w:t>
                        </w:r>
                      </w:p>
                      <w:p w:rsidR="002974FD" w:rsidRPr="002974FD" w:rsidRDefault="002974FD" w:rsidP="002974FD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>Kategorija ostalih izvanbilančnih zapisa sadrži podatke:</w:t>
                        </w:r>
                      </w:p>
                      <w:p w:rsidR="002974FD" w:rsidRPr="002974FD" w:rsidRDefault="002974FD" w:rsidP="002974FD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 xml:space="preserve">a) </w:t>
                        </w:r>
                        <w:r w:rsidR="00C82EA3">
                          <w:rPr>
                            <w:rFonts w:ascii="Arial" w:hAnsi="Arial" w:cs="Arial"/>
                          </w:rPr>
                          <w:t xml:space="preserve">o </w:t>
                        </w:r>
                        <w:r w:rsidRPr="002974FD">
                          <w:rPr>
                            <w:rFonts w:ascii="Arial" w:hAnsi="Arial" w:cs="Arial"/>
                          </w:rPr>
                          <w:t>primljenim garancijama i jamstvima i bjanko zadužnicama za uredna ispunjenja obveza iz Ugovora za nabave roba i usluga, otklanjanje nedostataka u jamstvenom roku i sl. Ista su bila predmet popisa te su evidencije usklađene i na dan 31.12.2021. god. vrijednost istih iznosi cca 64,8 mil kn (tabl</w:t>
                        </w:r>
                        <w:r w:rsidR="00C82EA3">
                          <w:rPr>
                            <w:rFonts w:ascii="Arial" w:hAnsi="Arial" w:cs="Arial"/>
                          </w:rPr>
                          <w:t>ic</w:t>
                        </w:r>
                        <w:r w:rsidRPr="002974FD">
                          <w:rPr>
                            <w:rFonts w:ascii="Arial" w:hAnsi="Arial" w:cs="Arial"/>
                          </w:rPr>
                          <w:t>a 3 u prilogu).</w:t>
                        </w:r>
                      </w:p>
                      <w:p w:rsidR="00FE60FC" w:rsidRPr="002974FD" w:rsidRDefault="002974FD" w:rsidP="002974FD">
                        <w:pPr>
                          <w:tabs>
                            <w:tab w:val="left" w:pos="144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2974FD">
                          <w:rPr>
                            <w:rFonts w:ascii="Arial" w:hAnsi="Arial" w:cs="Arial"/>
                          </w:rPr>
                          <w:t>b) Sigurna turistička sezona „TURS“ ugovori – donacije gradova, općina i javnih ustanova u iznosu od 466.421,95 kn za financiranje troškova (prehrana i smještaja) policijskih službenika na ispomoći tijekom turističke sezone 2021. god.</w:t>
                        </w:r>
                      </w:p>
                    </w:tc>
                  </w:tr>
                </w:tbl>
                <w:p w:rsidR="005B67CA" w:rsidRDefault="00FE60FC" w:rsidP="005B67CA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outlineLvl w:val="6"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lastRenderedPageBreak/>
                    <w:t xml:space="preserve">                            </w:t>
                  </w:r>
                </w:p>
                <w:p w:rsidR="00FE60FC" w:rsidRPr="008B5282" w:rsidRDefault="005B67CA" w:rsidP="005B67CA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outlineLvl w:val="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</w:t>
                  </w:r>
                  <w:r w:rsidR="008B5282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FE60FC" w:rsidRPr="00683EE9">
                    <w:rPr>
                      <w:rFonts w:ascii="Arial" w:hAnsi="Arial" w:cs="Arial"/>
                      <w:b/>
                    </w:rPr>
                    <w:t xml:space="preserve">BILJEŠKE UZ  IZVJEŠTAJ O PROMJENAMA U </w:t>
                  </w:r>
                </w:p>
                <w:p w:rsidR="00FE60FC" w:rsidRPr="00683EE9" w:rsidRDefault="00FE60FC" w:rsidP="008B528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/>
                    <w:outlineLvl w:val="6"/>
                    <w:rPr>
                      <w:rFonts w:ascii="Arial" w:eastAsia="Times New Roman" w:hAnsi="Arial" w:cs="Arial"/>
                      <w:b/>
                      <w:lang w:eastAsia="hr-HR"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 xml:space="preserve">                               </w:t>
                  </w:r>
                  <w:r w:rsidRPr="00683EE9">
                    <w:rPr>
                      <w:rFonts w:ascii="Arial" w:eastAsia="Times New Roman" w:hAnsi="Arial" w:cs="Arial"/>
                      <w:b/>
                      <w:lang w:eastAsia="hr-HR"/>
                    </w:rPr>
                    <w:t>VRIJEDNOSTI I OBUJMU IMOVINE I OBVEZA</w:t>
                  </w:r>
                </w:p>
                <w:p w:rsidR="00FE60FC" w:rsidRDefault="00FE60FC" w:rsidP="00FE60FC">
                  <w:pPr>
                    <w:rPr>
                      <w:lang w:eastAsia="hr-HR"/>
                    </w:rPr>
                  </w:pPr>
                </w:p>
                <w:p w:rsidR="005B67CA" w:rsidRPr="00683EE9" w:rsidRDefault="005B67CA" w:rsidP="00FE60FC">
                  <w:pPr>
                    <w:rPr>
                      <w:lang w:eastAsia="hr-HR"/>
                    </w:rPr>
                  </w:pPr>
                </w:p>
                <w:p w:rsidR="00FE60FC" w:rsidRPr="008B5282" w:rsidRDefault="00FE60FC" w:rsidP="008B5282">
                  <w:pPr>
                    <w:numPr>
                      <w:ilvl w:val="0"/>
                      <w:numId w:val="9"/>
                    </w:numPr>
                    <w:spacing w:after="0"/>
                    <w:contextualSpacing/>
                    <w:rPr>
                      <w:rFonts w:ascii="Arial" w:hAnsi="Arial" w:cs="Arial"/>
                    </w:rPr>
                  </w:pPr>
                  <w:r w:rsidRPr="008B5282">
                    <w:rPr>
                      <w:rFonts w:ascii="Arial" w:hAnsi="Arial" w:cs="Arial"/>
                    </w:rPr>
                    <w:t>PROMJENE U VRIJEDNOSTI IMOVINE:</w:t>
                  </w:r>
                </w:p>
                <w:p w:rsidR="00FE60FC" w:rsidRPr="00683EE9" w:rsidRDefault="00FE60FC" w:rsidP="00FE60FC">
                  <w:pPr>
                    <w:contextualSpacing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42"/>
                    <w:gridCol w:w="8221"/>
                  </w:tblGrid>
                  <w:tr w:rsidR="00FE60FC" w:rsidRPr="00683EE9" w:rsidTr="00FE60FC"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005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3D12" w:rsidRPr="00B73D12" w:rsidRDefault="00B73D12" w:rsidP="00B73D1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 xml:space="preserve">Iskazano povećanje vrijednosti proizvedene dugotrajne imovine poslovnih objekata (procjene) nastalo je uređenjem okoliša PP Krk od strane grada Krka (PU Primorsko-goranska). </w:t>
                        </w:r>
                      </w:p>
                      <w:p w:rsidR="00FE60FC" w:rsidRPr="00B73D12" w:rsidRDefault="00B73D12" w:rsidP="00B73D1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 xml:space="preserve">Smanjenje vrijednosti proizvedene dugotrajne imovine posljedica je provođenja rashoda dugotrajne imovine (namještaj, kontejneri, vozila, komunikacijska oprema i sl.) temeljem Odluka o rashodu. </w:t>
                        </w:r>
                      </w:p>
                    </w:tc>
                  </w:tr>
                  <w:tr w:rsidR="00FE60FC" w:rsidRPr="00683EE9" w:rsidTr="00FE60FC"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008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B73D12" w:rsidRDefault="00B73D12" w:rsidP="00B73D1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>Smanjenje vrijednosti dugotrajne nefinancijske imovine u pripremi rezultat je prijenosa (isknjiženja) imovine Ministarstvu mora, prometa i infrastrukture, za iskazana ulaganja iz sredstava MUP-a u razvoju i implementaciji sustava  SOTAH.</w:t>
                        </w:r>
                      </w:p>
                    </w:tc>
                  </w:tr>
                  <w:tr w:rsidR="00FE60FC" w:rsidRPr="00683EE9" w:rsidTr="00FE60FC">
                    <w:trPr>
                      <w:trHeight w:val="1109"/>
                    </w:trPr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016</w:t>
                        </w:r>
                      </w:p>
                    </w:tc>
                    <w:tc>
                      <w:tcPr>
                        <w:tcW w:w="8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B73D12" w:rsidRDefault="00B73D12" w:rsidP="00B73D1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 xml:space="preserve">Smanjenje vrijednosti potraživanja za prihode poslovanja, rezultat je isknjiženja šteta na plovilima te šteta na vozilima, kao i isknjiženja potraživanja od fizičkih osoba  s osnova otpisa duga sukladno zakonskim propisima. </w:t>
                        </w:r>
                      </w:p>
                    </w:tc>
                  </w:tr>
                </w:tbl>
                <w:p w:rsidR="00FE60FC" w:rsidRDefault="00FE60FC" w:rsidP="006B25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</w:p>
                <w:p w:rsidR="005B67CA" w:rsidRDefault="005B67CA" w:rsidP="006B25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</w:p>
                <w:p w:rsidR="002159EF" w:rsidRPr="00683EE9" w:rsidRDefault="002159EF" w:rsidP="006B25A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</w:p>
                <w:p w:rsidR="005B67CA" w:rsidRPr="005B67CA" w:rsidRDefault="00FE60FC" w:rsidP="005B67CA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Arial" w:hAnsi="Arial" w:cs="Arial"/>
                    </w:rPr>
                  </w:pPr>
                  <w:r w:rsidRPr="00683EE9">
                    <w:rPr>
                      <w:rFonts w:ascii="Arial" w:hAnsi="Arial" w:cs="Arial"/>
                    </w:rPr>
                    <w:t>PROMJENE U OBUJMU IMOVINE:</w:t>
                  </w:r>
                </w:p>
                <w:p w:rsidR="00FE60FC" w:rsidRPr="00683EE9" w:rsidRDefault="00FE60FC" w:rsidP="00FE60F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76"/>
                    <w:gridCol w:w="8188"/>
                  </w:tblGrid>
                  <w:tr w:rsidR="00B73D12" w:rsidRPr="00B73D12" w:rsidTr="00FE60FC">
                    <w:trPr>
                      <w:trHeight w:val="539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020</w:t>
                        </w:r>
                      </w:p>
                    </w:tc>
                    <w:tc>
                      <w:tcPr>
                        <w:tcW w:w="8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B73D12" w:rsidRDefault="00B73D12" w:rsidP="00B73D1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>Smanjenje obujma neproizvedene dugotrajne imovine rezultat je isknjiženja zemljišta s procijenjenom vrijednošću u poslovne knjige (PU Karlovačka).</w:t>
                        </w:r>
                      </w:p>
                    </w:tc>
                  </w:tr>
                  <w:tr w:rsidR="00FE60FC" w:rsidRPr="00683EE9" w:rsidTr="00FE60FC">
                    <w:trPr>
                      <w:trHeight w:val="954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021</w:t>
                        </w:r>
                      </w:p>
                    </w:tc>
                    <w:tc>
                      <w:tcPr>
                        <w:tcW w:w="8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3D12" w:rsidRPr="00B73D12" w:rsidRDefault="00B73D12" w:rsidP="00B73D12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 xml:space="preserve">Povećanje obujma proizvedene dugotrajne imovine nastalo je temeljem donacija vozila MUP-u na trajno korištenje od Ministarstva prostornog uređenja, graditeljstva i državne imovine, te temeljem donacija informatičke opreme, kućišta za radare, bespilotnih letjelica, sportske i policijske opreme na trajno korištenje MUP-u od gradova, općina i županija.   </w:t>
                        </w:r>
                      </w:p>
                      <w:p w:rsidR="00FE60FC" w:rsidRPr="00683EE9" w:rsidRDefault="00B73D12" w:rsidP="00FE60FC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>Do smanjenja obujma proizvedene dugotrajne imovine dolazi zbog trajnog ustupanja MUP-a Hrvatskoj vatrogasnoj zajednici, a radi se o vozilima, opremi i postrojenjima, stanu na Ksaverskoj cesti 109a, sportskoj dvorani na Ksaverskoj cesti 113 te o zgradi poslovnog prostora na Ksaverskoj cesti 109 i zgradi Učilišta vatrogastva na Ksaverskoj cesti 107. Na smanjenje je utjecalo i isknjiženje s osnova manjka dugotrajne imovine po Odluci o rezultatima popisa imovine.</w:t>
                        </w:r>
                      </w:p>
                    </w:tc>
                  </w:tr>
                  <w:tr w:rsidR="00FE60FC" w:rsidRPr="00683EE9" w:rsidTr="00C3636A">
                    <w:trPr>
                      <w:trHeight w:val="1648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lastRenderedPageBreak/>
                          <w:t>AOP 023</w:t>
                        </w:r>
                      </w:p>
                    </w:tc>
                    <w:tc>
                      <w:tcPr>
                        <w:tcW w:w="8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1589" w:rsidRPr="00E51589" w:rsidRDefault="00E51589" w:rsidP="00E51589">
                        <w:pPr>
                          <w:spacing w:after="0" w:line="360" w:lineRule="auto"/>
                          <w:rPr>
                            <w:rFonts w:ascii="Arial" w:hAnsi="Arial" w:cs="Arial"/>
                          </w:rPr>
                        </w:pPr>
                        <w:r w:rsidRPr="00E51589">
                          <w:rPr>
                            <w:rFonts w:ascii="Arial" w:hAnsi="Arial" w:cs="Arial"/>
                          </w:rPr>
                          <w:t>Povećanje obujma sitnog inventara utvrđeno je s osnova viška po rezultatima popisa imovine te dobivenog sitnog inventara (madraci, deke, grijalice, elektromaterijal i dr.) od Ministarstva gospodarstva i održivog razvoja koja je prosljeđivana preko skladišta Državnih intervencijskih postrojbi CZ-a za potrebe vezane uz pandemiju Covid-19 i potrese svim županijama (Stožerima) i drugim korisnicima pomoći.</w:t>
                        </w:r>
                      </w:p>
                      <w:p w:rsidR="00FE60FC" w:rsidRPr="00E51589" w:rsidRDefault="00E51589" w:rsidP="00E51589">
                        <w:pPr>
                          <w:spacing w:after="0" w:line="360" w:lineRule="auto"/>
                          <w:rPr>
                            <w:rFonts w:ascii="Arial" w:hAnsi="Arial" w:cs="Arial"/>
                          </w:rPr>
                        </w:pPr>
                        <w:r w:rsidRPr="00E51589">
                          <w:rPr>
                            <w:rFonts w:ascii="Arial" w:hAnsi="Arial" w:cs="Arial"/>
                          </w:rPr>
                          <w:t>Smanjenje obujma sitnog inventara nastalo je trajnim ustupanjem sitnog inventara temeljem Zapisnika sa sjednice stožera CZ RH od 30. studenoga 2021.g. (madraci, elektromaterijal, beskontaktni termometar i dr.) korisnicima državnog proračuna za potrebe vezane uz pandemiju Covid-19 i potrese (Sisačko-moslavačkoj županiji, Karlovačkoj županiji, Sisku, Petrinji, Glini, općini Lekenik, KB Dubravi, Gradu Zagrebu i dr.). Smanjenje obujma sitnog inventara nastalo je s osnova utvrđenog manjka po Odluci o rezultatima popisa imovine.</w:t>
                        </w:r>
                      </w:p>
                    </w:tc>
                  </w:tr>
                  <w:tr w:rsidR="00FE60FC" w:rsidRPr="00683EE9" w:rsidTr="00FE60FC">
                    <w:trPr>
                      <w:trHeight w:val="1876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025</w:t>
                        </w:r>
                      </w:p>
                    </w:tc>
                    <w:tc>
                      <w:tcPr>
                        <w:tcW w:w="8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0" w:type="auto"/>
                          <w:tblCellMar>
                            <w:left w:w="73" w:type="dxa"/>
                            <w:right w:w="73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972"/>
                        </w:tblGrid>
                        <w:tr w:rsidR="00FE60FC" w:rsidRPr="00683EE9" w:rsidTr="00FE60FC">
                          <w:trPr>
                            <w:trHeight w:val="6361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73D12" w:rsidRPr="00B73D12" w:rsidRDefault="00B73D12" w:rsidP="00B73D12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B73D12">
                                <w:rPr>
                                  <w:rFonts w:ascii="Arial" w:hAnsi="Arial" w:cs="Arial"/>
                                </w:rPr>
                                <w:t>Na povećanje obujma proizvedene kratkotrajne imovine najviše su utjecale dobivene  pomoći (potrošni materijal, prehrana i dr.) od Ministarstva gospodarstva i održivog razvoja,  koja je preko skladišta Državnih intervencijskih postrojbi CZ-a za potrebe vezane uz pandemiju Covid-19 prosljeđivana svim županijama (Stožerima) i drugim korisnicima pomoći. Obujam kratkotrajne imovine povećan je i s osnova utvrđenih viškova u skladištima, temeljem Odluke o rezultatima popisa imovine.</w:t>
                              </w:r>
                            </w:p>
                            <w:p w:rsidR="00FE60FC" w:rsidRPr="00B73D12" w:rsidRDefault="00B73D12" w:rsidP="00A4182A">
                              <w:p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B73D12">
                                <w:rPr>
                                  <w:rFonts w:ascii="Arial" w:hAnsi="Arial" w:cs="Arial"/>
                                </w:rPr>
                                <w:t xml:space="preserve">Na smanjenje obujma proizvedene kratkotrajne imovine utjecalo je ustupanje kratkotrajne imovine (potrošni materijal, prehrana i dr.) korisnicima državnog proračuna za potrebe vezane uz pandemiju Covid-19 i potrese. </w:t>
                              </w:r>
                              <w:r w:rsidR="00A4182A">
                                <w:rPr>
                                  <w:rFonts w:ascii="Arial" w:hAnsi="Arial" w:cs="Arial"/>
                                </w:rPr>
                                <w:t>Temeljem Zapisnika sa sjednice stožera CZ RH od 30. studenoga 2021.g. Stožer CZ-a trajno ustupa</w:t>
                              </w:r>
                              <w:r w:rsidR="00A4182A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 w:rsidRPr="00B73D12">
                                <w:rPr>
                                  <w:rFonts w:ascii="Arial" w:hAnsi="Arial" w:cs="Arial"/>
                                </w:rPr>
                                <w:t>kratkotrajn</w:t>
                              </w:r>
                              <w:r w:rsidR="00A4182A">
                                <w:rPr>
                                  <w:rFonts w:ascii="Arial" w:hAnsi="Arial" w:cs="Arial"/>
                                </w:rPr>
                                <w:t>u imovinu</w:t>
                              </w:r>
                              <w:r w:rsidRPr="00B73D1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A4182A"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  <w:r w:rsidRPr="00B73D12">
                                <w:rPr>
                                  <w:rFonts w:ascii="Arial" w:hAnsi="Arial" w:cs="Arial"/>
                                </w:rPr>
                                <w:t>rvatskom zavodu za javno zdravstvo, Ministarstvu zdravstva, Ministarstvu pravosuđa i uprave, Ministarstvu financija, Gradu Zagrebu, KBC Zagreb, KBC Sestre milosrdnice, KB Dubrava, KB Sv. Duh, Klinici za infektivne bolesti Dr. Fran Mihaljević i dr. Na smanjene obujma utjecao je proveden rashod po Odluci o rashodu  kratkotrajne imovine na zalihama, kao i isknjiženje manjka po Odluci o rezultatima popisa imovine.</w:t>
                              </w:r>
                            </w:p>
                          </w:tc>
                        </w:tr>
                      </w:tbl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FE60FC" w:rsidRPr="00683EE9" w:rsidTr="00FE60FC">
                    <w:trPr>
                      <w:trHeight w:val="1591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683EE9" w:rsidRDefault="00FE60FC" w:rsidP="00FE60FC">
                        <w:pPr>
                          <w:rPr>
                            <w:rFonts w:ascii="Arial" w:hAnsi="Arial" w:cs="Arial"/>
                          </w:rPr>
                        </w:pPr>
                        <w:r w:rsidRPr="00683EE9">
                          <w:rPr>
                            <w:rFonts w:ascii="Arial" w:hAnsi="Arial" w:cs="Arial"/>
                          </w:rPr>
                          <w:t>AOP 032</w:t>
                        </w:r>
                      </w:p>
                    </w:tc>
                    <w:tc>
                      <w:tcPr>
                        <w:tcW w:w="8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60FC" w:rsidRPr="00B73D12" w:rsidRDefault="00B73D12" w:rsidP="00C92D2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B73D12">
                          <w:rPr>
                            <w:rFonts w:ascii="Arial" w:hAnsi="Arial" w:cs="Arial"/>
                          </w:rPr>
                          <w:t>Smanjenje obujma potraživanja za prihode poslovanja posljedica je isknjiženja potraživanja po Odluci o otpisu koji je izvršen temeljem brisanja poslovnog partnera iz registra, neevidentiranja potraživanja u stečajnu masu, otpisa po pravomoćnim stečajnim nagodbama, isknjiženja šteta helikoptera i plovila, nemogućnosti provedbe refundacija zbog nedostatnih raspoloživih sredstava od korisnika državnog proračuna i dr.</w:t>
                        </w:r>
                      </w:p>
                    </w:tc>
                  </w:tr>
                </w:tbl>
                <w:p w:rsidR="00FE60FC" w:rsidRDefault="00B73D12" w:rsidP="00B73D12">
                  <w:pPr>
                    <w:tabs>
                      <w:tab w:val="left" w:pos="38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            </w:t>
                  </w:r>
                  <w:r w:rsidR="00FE60FC" w:rsidRPr="00683EE9">
                    <w:rPr>
                      <w:rFonts w:ascii="Arial" w:hAnsi="Arial" w:cs="Arial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B67CA" w:rsidRDefault="00FE60FC" w:rsidP="00FE60FC">
                  <w:pPr>
                    <w:tabs>
                      <w:tab w:val="left" w:pos="389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</w:t>
                  </w:r>
                </w:p>
                <w:p w:rsidR="00FE60FC" w:rsidRDefault="005B67CA" w:rsidP="00FE60FC">
                  <w:pPr>
                    <w:tabs>
                      <w:tab w:val="left" w:pos="389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</w:t>
                  </w:r>
                  <w:r w:rsidR="00FE60FC">
                    <w:rPr>
                      <w:rFonts w:ascii="Arial" w:hAnsi="Arial" w:cs="Arial"/>
                    </w:rPr>
                    <w:t xml:space="preserve">  </w:t>
                  </w:r>
                  <w:r w:rsidR="00FE60FC" w:rsidRPr="00683EE9">
                    <w:rPr>
                      <w:rFonts w:ascii="Arial" w:hAnsi="Arial" w:cs="Arial"/>
                    </w:rPr>
                    <w:t xml:space="preserve"> </w:t>
                  </w:r>
                  <w:r w:rsidR="00FE60FC" w:rsidRPr="00683EE9">
                    <w:rPr>
                      <w:rFonts w:ascii="Arial" w:hAnsi="Arial" w:cs="Arial"/>
                      <w:b/>
                    </w:rPr>
                    <w:t>NAČELNICA SEKTORA</w:t>
                  </w:r>
                </w:p>
                <w:p w:rsidR="00A1411D" w:rsidRPr="00683EE9" w:rsidRDefault="00A1411D" w:rsidP="005E7F4B">
                  <w:pPr>
                    <w:tabs>
                      <w:tab w:val="left" w:pos="3890"/>
                    </w:tabs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FE60FC" w:rsidRPr="005E7F4B" w:rsidRDefault="00FE60FC" w:rsidP="00FE60FC">
                  <w:pPr>
                    <w:rPr>
                      <w:rFonts w:ascii="Arial" w:hAnsi="Arial" w:cs="Arial"/>
                      <w:b/>
                    </w:rPr>
                  </w:pPr>
                  <w:r w:rsidRPr="00683EE9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      ANDREJA BENIĆ</w:t>
                  </w:r>
                </w:p>
              </w:tc>
            </w:tr>
          </w:tbl>
          <w:p w:rsidR="005B67CA" w:rsidRDefault="005B67CA" w:rsidP="00FE6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60FC" w:rsidRPr="00383C0B" w:rsidRDefault="00FE60FC" w:rsidP="00FE6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5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401-01/21-01/59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02A77" w:rsidTr="000D68B5">
        <w:tc>
          <w:tcPr>
            <w:tcW w:w="12124" w:type="dxa"/>
            <w:shd w:val="clear" w:color="auto" w:fill="auto"/>
          </w:tcPr>
          <w:p w:rsidR="00FE60FC" w:rsidRPr="00383C0B" w:rsidRDefault="00FE60FC" w:rsidP="00FE6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lastRenderedPageBreak/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6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511-01-163-22-7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02A77" w:rsidTr="000D68B5">
        <w:tc>
          <w:tcPr>
            <w:tcW w:w="12124" w:type="dxa"/>
            <w:shd w:val="clear" w:color="auto" w:fill="auto"/>
          </w:tcPr>
          <w:p w:rsidR="00FE60FC" w:rsidRPr="00383C0B" w:rsidRDefault="00FE60FC" w:rsidP="00FE60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7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Zagreb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8" w:name="PismenoDatNastank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553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veljače 2022.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FE60FC" w:rsidRDefault="00FE60FC" w:rsidP="00FE6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60FC" w:rsidRPr="0083247B" w:rsidRDefault="00323199" w:rsidP="00FE6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Prilozi: Tablica 1., 2., 3.</w:t>
      </w:r>
    </w:p>
    <w:sectPr w:rsidR="00FE60FC" w:rsidRPr="0083247B" w:rsidSect="00FE60FC">
      <w:headerReference w:type="default" r:id="rId12"/>
      <w:footerReference w:type="default" r:id="rId1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68" w:rsidRDefault="00805C68">
      <w:pPr>
        <w:spacing w:after="0" w:line="240" w:lineRule="auto"/>
      </w:pPr>
      <w:r>
        <w:separator/>
      </w:r>
    </w:p>
  </w:endnote>
  <w:endnote w:type="continuationSeparator" w:id="0">
    <w:p w:rsidR="00805C68" w:rsidRDefault="0080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100132"/>
      <w:docPartObj>
        <w:docPartGallery w:val="Page Numbers (Bottom of Page)"/>
        <w:docPartUnique/>
      </w:docPartObj>
    </w:sdtPr>
    <w:sdtEndPr/>
    <w:sdtContent>
      <w:p w:rsidR="00CF078B" w:rsidRDefault="00CF07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6AF">
          <w:rPr>
            <w:noProof/>
          </w:rPr>
          <w:t>1</w:t>
        </w:r>
        <w:r>
          <w:fldChar w:fldCharType="end"/>
        </w:r>
      </w:p>
    </w:sdtContent>
  </w:sdt>
  <w:p w:rsidR="00CF078B" w:rsidRDefault="00CF07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68" w:rsidRDefault="00805C68">
      <w:pPr>
        <w:spacing w:after="0" w:line="240" w:lineRule="auto"/>
      </w:pPr>
      <w:r>
        <w:separator/>
      </w:r>
    </w:p>
  </w:footnote>
  <w:footnote w:type="continuationSeparator" w:id="0">
    <w:p w:rsidR="00805C68" w:rsidRDefault="0080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8B" w:rsidRDefault="00CF078B" w:rsidP="00FE60FC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735"/>
    <w:multiLevelType w:val="hybridMultilevel"/>
    <w:tmpl w:val="F39C44D4"/>
    <w:lvl w:ilvl="0" w:tplc="E0DCF8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23CF"/>
    <w:multiLevelType w:val="hybridMultilevel"/>
    <w:tmpl w:val="C4C42DAA"/>
    <w:lvl w:ilvl="0" w:tplc="4F06010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E3A"/>
    <w:multiLevelType w:val="hybridMultilevel"/>
    <w:tmpl w:val="AA1A3414"/>
    <w:lvl w:ilvl="0" w:tplc="2B22041A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CE504F6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974963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CFA697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352CFC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08E933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BC6131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9D2A44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644998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4A4CB8"/>
    <w:multiLevelType w:val="hybridMultilevel"/>
    <w:tmpl w:val="1CAC3ABA"/>
    <w:lvl w:ilvl="0" w:tplc="1C44D6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6B83504"/>
    <w:multiLevelType w:val="hybridMultilevel"/>
    <w:tmpl w:val="20DAA9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92544"/>
    <w:multiLevelType w:val="hybridMultilevel"/>
    <w:tmpl w:val="BAD882CC"/>
    <w:lvl w:ilvl="0" w:tplc="695C7E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160B9"/>
    <w:multiLevelType w:val="hybridMultilevel"/>
    <w:tmpl w:val="6BF0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416A77"/>
    <w:multiLevelType w:val="hybridMultilevel"/>
    <w:tmpl w:val="0D2CCAB2"/>
    <w:lvl w:ilvl="0" w:tplc="DBF630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F141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C5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C5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A9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61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48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89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27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14E3"/>
    <w:multiLevelType w:val="hybridMultilevel"/>
    <w:tmpl w:val="1E2CDD46"/>
    <w:lvl w:ilvl="0" w:tplc="94168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7"/>
    <w:rsid w:val="00024018"/>
    <w:rsid w:val="00031BCF"/>
    <w:rsid w:val="000456C1"/>
    <w:rsid w:val="00047C01"/>
    <w:rsid w:val="00053A83"/>
    <w:rsid w:val="00072DF3"/>
    <w:rsid w:val="00092361"/>
    <w:rsid w:val="000A34B1"/>
    <w:rsid w:val="000C12A9"/>
    <w:rsid w:val="000D069F"/>
    <w:rsid w:val="000D68B5"/>
    <w:rsid w:val="000D7823"/>
    <w:rsid w:val="000E367A"/>
    <w:rsid w:val="000E7A6B"/>
    <w:rsid w:val="001166BC"/>
    <w:rsid w:val="00120FDD"/>
    <w:rsid w:val="00133B29"/>
    <w:rsid w:val="00154E72"/>
    <w:rsid w:val="00164D75"/>
    <w:rsid w:val="001D44BD"/>
    <w:rsid w:val="00205014"/>
    <w:rsid w:val="002159EF"/>
    <w:rsid w:val="00231450"/>
    <w:rsid w:val="00232DE8"/>
    <w:rsid w:val="00234A4C"/>
    <w:rsid w:val="0029091B"/>
    <w:rsid w:val="00290D6C"/>
    <w:rsid w:val="002974FD"/>
    <w:rsid w:val="002C2277"/>
    <w:rsid w:val="002C524A"/>
    <w:rsid w:val="002C6214"/>
    <w:rsid w:val="002E30A5"/>
    <w:rsid w:val="002E398C"/>
    <w:rsid w:val="002E41D6"/>
    <w:rsid w:val="00304558"/>
    <w:rsid w:val="0032254F"/>
    <w:rsid w:val="00323199"/>
    <w:rsid w:val="003241B7"/>
    <w:rsid w:val="00347EAA"/>
    <w:rsid w:val="0036188C"/>
    <w:rsid w:val="00373A0C"/>
    <w:rsid w:val="00377A5B"/>
    <w:rsid w:val="003865A6"/>
    <w:rsid w:val="003902EA"/>
    <w:rsid w:val="003F6186"/>
    <w:rsid w:val="0040015A"/>
    <w:rsid w:val="00416596"/>
    <w:rsid w:val="0041697F"/>
    <w:rsid w:val="00422D48"/>
    <w:rsid w:val="00425E79"/>
    <w:rsid w:val="00427EE5"/>
    <w:rsid w:val="00430977"/>
    <w:rsid w:val="00455161"/>
    <w:rsid w:val="004754B3"/>
    <w:rsid w:val="00484184"/>
    <w:rsid w:val="004A7392"/>
    <w:rsid w:val="004B5885"/>
    <w:rsid w:val="004C41D8"/>
    <w:rsid w:val="004E0E06"/>
    <w:rsid w:val="004E1768"/>
    <w:rsid w:val="004F4350"/>
    <w:rsid w:val="005054FC"/>
    <w:rsid w:val="00511727"/>
    <w:rsid w:val="0052100E"/>
    <w:rsid w:val="0053120B"/>
    <w:rsid w:val="00541C96"/>
    <w:rsid w:val="0057313E"/>
    <w:rsid w:val="0058068F"/>
    <w:rsid w:val="005A60D0"/>
    <w:rsid w:val="005B67CA"/>
    <w:rsid w:val="005C16A5"/>
    <w:rsid w:val="005E7F4B"/>
    <w:rsid w:val="0060553C"/>
    <w:rsid w:val="0062724F"/>
    <w:rsid w:val="00633331"/>
    <w:rsid w:val="00643AFB"/>
    <w:rsid w:val="0065386B"/>
    <w:rsid w:val="006559A9"/>
    <w:rsid w:val="0067551D"/>
    <w:rsid w:val="00686B2F"/>
    <w:rsid w:val="0069029E"/>
    <w:rsid w:val="006904B6"/>
    <w:rsid w:val="0069129C"/>
    <w:rsid w:val="00692388"/>
    <w:rsid w:val="006A4917"/>
    <w:rsid w:val="006A7BAA"/>
    <w:rsid w:val="006A7E06"/>
    <w:rsid w:val="006B25A1"/>
    <w:rsid w:val="006D6ECF"/>
    <w:rsid w:val="006E11BD"/>
    <w:rsid w:val="006E2368"/>
    <w:rsid w:val="006E4545"/>
    <w:rsid w:val="006F1EFB"/>
    <w:rsid w:val="00703DA7"/>
    <w:rsid w:val="00722C8B"/>
    <w:rsid w:val="007331E2"/>
    <w:rsid w:val="0073765E"/>
    <w:rsid w:val="007525B4"/>
    <w:rsid w:val="00756932"/>
    <w:rsid w:val="00766400"/>
    <w:rsid w:val="007A535D"/>
    <w:rsid w:val="007A58CF"/>
    <w:rsid w:val="007B50C2"/>
    <w:rsid w:val="007B780A"/>
    <w:rsid w:val="007C236C"/>
    <w:rsid w:val="007C2784"/>
    <w:rsid w:val="007E1233"/>
    <w:rsid w:val="007E3373"/>
    <w:rsid w:val="007F5793"/>
    <w:rsid w:val="00802A77"/>
    <w:rsid w:val="00805C68"/>
    <w:rsid w:val="0081227E"/>
    <w:rsid w:val="00815BF9"/>
    <w:rsid w:val="00826131"/>
    <w:rsid w:val="00827D92"/>
    <w:rsid w:val="008306BE"/>
    <w:rsid w:val="0086065A"/>
    <w:rsid w:val="008607D6"/>
    <w:rsid w:val="00877988"/>
    <w:rsid w:val="0088051B"/>
    <w:rsid w:val="008A1B9D"/>
    <w:rsid w:val="008B2B7C"/>
    <w:rsid w:val="008B5282"/>
    <w:rsid w:val="008D058D"/>
    <w:rsid w:val="008E635F"/>
    <w:rsid w:val="008F11B6"/>
    <w:rsid w:val="00910EF9"/>
    <w:rsid w:val="0092798A"/>
    <w:rsid w:val="009412AD"/>
    <w:rsid w:val="0095039F"/>
    <w:rsid w:val="00954A2B"/>
    <w:rsid w:val="00964956"/>
    <w:rsid w:val="00985993"/>
    <w:rsid w:val="00994FA5"/>
    <w:rsid w:val="009B6D31"/>
    <w:rsid w:val="009C69E8"/>
    <w:rsid w:val="009F6605"/>
    <w:rsid w:val="009F7C5D"/>
    <w:rsid w:val="00A02BBC"/>
    <w:rsid w:val="00A1411D"/>
    <w:rsid w:val="00A342E6"/>
    <w:rsid w:val="00A4182A"/>
    <w:rsid w:val="00A47B29"/>
    <w:rsid w:val="00A524DD"/>
    <w:rsid w:val="00A61081"/>
    <w:rsid w:val="00A737AB"/>
    <w:rsid w:val="00A771AE"/>
    <w:rsid w:val="00A77524"/>
    <w:rsid w:val="00AA2999"/>
    <w:rsid w:val="00AC5F76"/>
    <w:rsid w:val="00AD2989"/>
    <w:rsid w:val="00AD43AC"/>
    <w:rsid w:val="00AE4AFF"/>
    <w:rsid w:val="00AE5F3C"/>
    <w:rsid w:val="00AE6724"/>
    <w:rsid w:val="00AF2ABA"/>
    <w:rsid w:val="00AF7704"/>
    <w:rsid w:val="00B03872"/>
    <w:rsid w:val="00B04562"/>
    <w:rsid w:val="00B064B8"/>
    <w:rsid w:val="00B12DB7"/>
    <w:rsid w:val="00B35CA4"/>
    <w:rsid w:val="00B37958"/>
    <w:rsid w:val="00B47BC3"/>
    <w:rsid w:val="00B506AF"/>
    <w:rsid w:val="00B6775E"/>
    <w:rsid w:val="00B73427"/>
    <w:rsid w:val="00B73D12"/>
    <w:rsid w:val="00B80021"/>
    <w:rsid w:val="00B819E7"/>
    <w:rsid w:val="00B82A5D"/>
    <w:rsid w:val="00B84E6B"/>
    <w:rsid w:val="00B9635F"/>
    <w:rsid w:val="00BA5C59"/>
    <w:rsid w:val="00BB2FA4"/>
    <w:rsid w:val="00BC6ADE"/>
    <w:rsid w:val="00BE5ADE"/>
    <w:rsid w:val="00C3636A"/>
    <w:rsid w:val="00C67C8F"/>
    <w:rsid w:val="00C67E13"/>
    <w:rsid w:val="00C7152C"/>
    <w:rsid w:val="00C82EA3"/>
    <w:rsid w:val="00C92D21"/>
    <w:rsid w:val="00C96576"/>
    <w:rsid w:val="00CA453E"/>
    <w:rsid w:val="00CD2F61"/>
    <w:rsid w:val="00CF078B"/>
    <w:rsid w:val="00D2221F"/>
    <w:rsid w:val="00D8200A"/>
    <w:rsid w:val="00DA191D"/>
    <w:rsid w:val="00DD11EE"/>
    <w:rsid w:val="00DD3393"/>
    <w:rsid w:val="00DD52C7"/>
    <w:rsid w:val="00DF679B"/>
    <w:rsid w:val="00DF691D"/>
    <w:rsid w:val="00E31B9A"/>
    <w:rsid w:val="00E35A0C"/>
    <w:rsid w:val="00E423CA"/>
    <w:rsid w:val="00E47ED3"/>
    <w:rsid w:val="00E50485"/>
    <w:rsid w:val="00E51589"/>
    <w:rsid w:val="00E56C52"/>
    <w:rsid w:val="00E66622"/>
    <w:rsid w:val="00E73FF1"/>
    <w:rsid w:val="00E7466B"/>
    <w:rsid w:val="00EA6968"/>
    <w:rsid w:val="00EB26B1"/>
    <w:rsid w:val="00EB58C5"/>
    <w:rsid w:val="00EC08E7"/>
    <w:rsid w:val="00ED23C7"/>
    <w:rsid w:val="00F10F45"/>
    <w:rsid w:val="00F21B17"/>
    <w:rsid w:val="00F34F32"/>
    <w:rsid w:val="00F42D9B"/>
    <w:rsid w:val="00F46305"/>
    <w:rsid w:val="00F52557"/>
    <w:rsid w:val="00F60304"/>
    <w:rsid w:val="00F87BBE"/>
    <w:rsid w:val="00FB029E"/>
    <w:rsid w:val="00FB6E26"/>
    <w:rsid w:val="00FD5CFC"/>
    <w:rsid w:val="00FD7C13"/>
    <w:rsid w:val="00FE60FC"/>
    <w:rsid w:val="00FF27A7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B69B-8EC3-4DFD-8237-FC94A14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E8B8493346C4383114450CBE12734" ma:contentTypeVersion="0" ma:contentTypeDescription="Create a new document." ma:contentTypeScope="" ma:versionID="d4f87798d24b0c2aa1f47dac6b520c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F52BA-B1CD-45AD-A722-40B801A0B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96A02-839B-4732-BAAE-EC277254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6747</Words>
  <Characters>38459</Characters>
  <Application>Microsoft Office Word</Application>
  <DocSecurity>0</DocSecurity>
  <Lines>320</Lines>
  <Paragraphs>90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Župan Marjana</cp:lastModifiedBy>
  <cp:revision>2</cp:revision>
  <dcterms:created xsi:type="dcterms:W3CDTF">2022-04-13T11:49:00Z</dcterms:created>
  <dcterms:modified xsi:type="dcterms:W3CDTF">2022-04-13T11:49:00Z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0x010100B3DE8B8493346C4383114450CBE12734</vt:lpwstr>
  </property>
</Properties>
</file>