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B21E6D" w:rsidRDefault="007A7E45" w:rsidP="00FE4B89">
      <w:pPr>
        <w:rPr>
          <w:rFonts w:ascii="Arial" w:hAnsi="Arial" w:cs="Arial"/>
        </w:rPr>
      </w:pPr>
    </w:p>
    <w:p w:rsidR="00455870" w:rsidRPr="00B21E6D" w:rsidRDefault="0040517B" w:rsidP="00B21E6D">
      <w:pPr>
        <w:pStyle w:val="Heading1"/>
        <w:jc w:val="center"/>
        <w:rPr>
          <w:rFonts w:ascii="Arial" w:hAnsi="Arial" w:cs="Arial"/>
        </w:rPr>
      </w:pPr>
      <w:r w:rsidRPr="00B21E6D">
        <w:rPr>
          <w:rFonts w:ascii="Arial" w:hAnsi="Arial" w:cs="Arial"/>
        </w:rPr>
        <w:t>OBRAZLOŽENJE OPĆEG DIJELA FINANCIJSKOG PLANA</w:t>
      </w:r>
    </w:p>
    <w:p w:rsidR="00455870" w:rsidRPr="00B21E6D" w:rsidRDefault="0040517B" w:rsidP="00B21E6D">
      <w:pPr>
        <w:pStyle w:val="Heading2"/>
        <w:jc w:val="center"/>
        <w:rPr>
          <w:rFonts w:ascii="Arial" w:hAnsi="Arial" w:cs="Arial"/>
        </w:rPr>
      </w:pPr>
      <w:r w:rsidRPr="00B21E6D">
        <w:rPr>
          <w:rFonts w:ascii="Arial" w:hAnsi="Arial" w:cs="Arial"/>
        </w:rPr>
        <w:t>04005 Ministarstvo unutarnjih poslova</w:t>
      </w:r>
    </w:p>
    <w:p w:rsidR="00455870" w:rsidRPr="00B21E6D" w:rsidRDefault="0040517B" w:rsidP="00B21E6D">
      <w:pPr>
        <w:jc w:val="center"/>
        <w:rPr>
          <w:rFonts w:ascii="Arial" w:hAnsi="Arial" w:cs="Arial"/>
        </w:rPr>
      </w:pPr>
      <w:r w:rsidRPr="00B21E6D">
        <w:rPr>
          <w:rFonts w:ascii="Arial" w:hAnsi="Arial" w:cs="Arial"/>
        </w:rPr>
        <w:t>OBRAZLOŽENJE OPĆEG DIJELA FINANCIJSKOG PLANA ZA 2025. I PROJEKCIJE ZA 2026. I 2027. GODINU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  <w:b/>
        </w:rPr>
      </w:pPr>
      <w:r w:rsidRPr="00B21E6D">
        <w:rPr>
          <w:rFonts w:ascii="Arial" w:hAnsi="Arial" w:cs="Arial"/>
          <w:b/>
        </w:rPr>
        <w:t xml:space="preserve">PRIHODI I PRIMICI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Ukupni prihodi u 2025.godini planirani su u iznosu od 1.466 milijuna eura, dok su za 2026. godini projicirani u iznosu od 1.336,5 milijuna eura te u 2027. godini 1.256,3 milijuna eura.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  <w:b/>
        </w:rPr>
      </w:pPr>
      <w:r w:rsidRPr="00B21E6D">
        <w:rPr>
          <w:rFonts w:ascii="Arial" w:hAnsi="Arial" w:cs="Arial"/>
          <w:b/>
        </w:rPr>
        <w:t xml:space="preserve">Pomoći iz inozemstva (darovnice) i od subjekata unutar općeg proračuna 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Prihodi od pomoći najvećim dijelom odnose se na prihode vezane uz projekte financirane iz EU proračuna, financiranje iz sredstava Višegodišnjeg financijskog okvira 2021.-2027., kao i sredstva iz instrumenata EU nove generacije odnosno Mehanizma za oporavak i otpornost.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Prihodi na izvoru 56 Fondovi EU planirani su u 2025. godini u iznosu od 49,8 milijuna eura, u 2026. godini 14,8 milijun eura te u 2027. godini 8,9 milijuna eura, a odnose se na povlačenje sredstava iz novog Programa konkurentnost i kohezija 2021.-2027. u dijelu razminiranja kao i za opremanje sustava civilne zaštite za otklanjanje posljedica katastrofa.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Prihodi na izvoru 57 Ostali programi EU planirani su u 2025. godini u iznosu od 140,7 milijuna eura, u 2026. godini 89 milijun eura te u 2027. godini 45,6 milijuna eura, a odnose se na sredstva iz Fonda za unutarnju sigurnost – Višegodišnji okvir 2021.-2027. (Fond za azil, migracije i integraciju, Fond za unutarnju sigurnost, Instrument za financijsku potporu u području upravljanja granicama i vizne politike te Tehnička pomoć). 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Prihodi na izvoru 58 Instrumenti EU nove generacije planirani su u 2025. godini u iznosu od 1,1 milijuna eura </w:t>
      </w:r>
    </w:p>
    <w:p w:rsidR="00455870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Sukladno navedenom, ukupno planirani prihodi od pomoći u 2025. godini iznose 199,7 milijuna eura, u 2026.g. 103,9 milijuna eura te u 2027. godini 54,6 milijuna eura, a sve u skladu s očekivanom realizacijom ugovorenih projekata. </w:t>
      </w:r>
    </w:p>
    <w:p w:rsidR="00ED7BE8" w:rsidRPr="00B21E6D" w:rsidRDefault="00ED7BE8">
      <w:pPr>
        <w:rPr>
          <w:rFonts w:ascii="Arial" w:hAnsi="Arial" w:cs="Arial"/>
        </w:rPr>
      </w:pPr>
    </w:p>
    <w:p w:rsidR="00455870" w:rsidRPr="00ED7BE8" w:rsidRDefault="0040517B">
      <w:pPr>
        <w:rPr>
          <w:rFonts w:ascii="Arial" w:hAnsi="Arial" w:cs="Arial"/>
          <w:b/>
        </w:rPr>
      </w:pPr>
      <w:r w:rsidRPr="00ED7BE8">
        <w:rPr>
          <w:rFonts w:ascii="Arial" w:hAnsi="Arial" w:cs="Arial"/>
          <w:b/>
        </w:rPr>
        <w:t xml:space="preserve">Prihodi od u pravnih i administrativnih pristojbi, pristojbi po posebnim propisima i naknadama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Prihodi po osnovi ostalih prihoda za posebne namjene planirani su na izvoru 43 te iznose 58,7 milijuna eura za 2025. godinu, 68,4 milijuna eura za 2026. godinu i 57,5 milijuna eura za 2027. godinu. </w:t>
      </w:r>
    </w:p>
    <w:p w:rsidR="00455870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Navedeni prihodi su najvećim dijelom sredstva koja se ostvaruju uplatom fizičkih i pravnih osoba za izdane zaštićene isprave i službene obrasce iz Popisa zaštićenih službenih obrazaca i ostalih službenih obrazaca, a koji se izdaju sukladno propisima iz nadležnosti Ministarstva unutarnjih poslova te su namjenski prihodi koji se koriste za podmirivanje rashoda za izradu i dostavu navedenih isprava. Dio prihoda ostvaruje se temeljem Sporazuma o sufinanciranju Nacionalnog programa sigurnosti cestovnog prometa, a koji služi za nabavu roba i usluga vezano uz sigurnost cestovnog prometa. U ovoj skupini su i prihodi od Naknada za korištenje općekorisnih funkcija šuma koji se koriste u svrhu razminiranja kao i Prihodi ostvareni po osnovi rutnih i terminalnih naknada (projekt Eurocontrol). </w:t>
      </w:r>
    </w:p>
    <w:p w:rsidR="00B21E6D" w:rsidRPr="00B21E6D" w:rsidRDefault="00B21E6D">
      <w:pPr>
        <w:rPr>
          <w:rFonts w:ascii="Arial" w:hAnsi="Arial" w:cs="Arial"/>
        </w:rPr>
      </w:pPr>
    </w:p>
    <w:p w:rsidR="00455870" w:rsidRPr="00B21E6D" w:rsidRDefault="0040517B">
      <w:pPr>
        <w:rPr>
          <w:rFonts w:ascii="Arial" w:hAnsi="Arial" w:cs="Arial"/>
          <w:b/>
        </w:rPr>
      </w:pPr>
      <w:r w:rsidRPr="00B21E6D">
        <w:rPr>
          <w:rFonts w:ascii="Arial" w:hAnsi="Arial" w:cs="Arial"/>
          <w:b/>
        </w:rPr>
        <w:t xml:space="preserve">Prihodi od prodaje proizvoda i robe te pruženih usluga i prihoda od donacija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Prihode od prodaje roba i usluga (izvor 31 Vlastiti prihodi) te prihodi od donacija (izvor 61 Donacije) planirani su u iznosu od 2,8 milijuna eura za svaku proračunsku godinu.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lastRenderedPageBreak/>
        <w:t xml:space="preserve">Uglavnom se ova skupina prihoda odnosi na vlastite prihode koji se odnose na prihode od restorana, kantina i bifea te na prihode od ljetovanja u smještajnim objektima Ministarstva.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  <w:b/>
        </w:rPr>
      </w:pPr>
      <w:r w:rsidRPr="00B21E6D">
        <w:rPr>
          <w:rFonts w:ascii="Arial" w:hAnsi="Arial" w:cs="Arial"/>
          <w:b/>
        </w:rPr>
        <w:t xml:space="preserve">Prihodi iz proračuna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Prihodi iz proračuna planirani su iz dva izvora: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Opći prihodi i primici – izvor 11, planirani su u iznosu od 1.143,8 milijuna eura za 2025. godinu, 1.141,7 milijuna eura za 2026. godinu i 1.134,4 milijuna eura za 2027. godinu. Isti se odnose na redovno poslovanje i funkcioniranje Ministarstva unutarnjih poslova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Sredstava učešća za pomoći – izvor 12, planirani su u iznosu od 61 milijuna eura u 2025.godini, 19,6 milijuna eura u 2026. godini i 7 milijuna eura u 2027. godini. Isti se odnose na nacionalni doprinos za provođenje projekata i aktivnosti iz EU fondova.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Sukladno navedenom, ukupno planirani prihodi iz proračuna iznose 1.204,7 milijuna eura za 2025. godinu, 1.161,3 milijuna eura za 2026. godinu i 1.141,4 milijuna eura za 2027. godinu. 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 </w:t>
      </w:r>
    </w:p>
    <w:p w:rsidR="00455870" w:rsidRPr="00ED7BE8" w:rsidRDefault="0040517B">
      <w:pPr>
        <w:rPr>
          <w:rFonts w:ascii="Arial" w:hAnsi="Arial" w:cs="Arial"/>
          <w:b/>
        </w:rPr>
      </w:pPr>
      <w:r w:rsidRPr="00ED7BE8">
        <w:rPr>
          <w:rFonts w:ascii="Arial" w:hAnsi="Arial" w:cs="Arial"/>
          <w:b/>
        </w:rPr>
        <w:t xml:space="preserve">RASHODI I IZDACI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Ukupni rashodi Ministarstva unutarnjih poslova planirani su u iznosu od 1.475,6 milijuna eura, u 2025. godini, 1.338,6 milijuna eura u 2026. godini  i 1.258,1 milijuna eura u 2026. godini. U nastavku je dan pregled ukupnih rashoda (uključeni svi izvori financiranja) po skupini rashoda.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Promatrajući ukupne rashode vidljivo je da se na razred Rashodi poslovanja u 2025.g. odnosi 86,7% planiranih sredstava, odnosno u 2026.g. 90,9% te u 2027.g. 93,4%, dok se na razred Rashodi za nabavu nefinancijske imovine u 2025.g. odnosi 13,2% planiranih sredstava, odnosno u 2026.g. 9,1% te u 2026.g. 6,6%.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Najveći udio rashoda u ukupno planiranim rashodima odnosi se na skupinu 31 Rashodi za zaposlene od 61% do 72% gdje su osigurana sredstava za isplatu plaća zaposlenika, ostalih rashoda za zaposlene (sukladno odredbama Kolektivnog ugovora za državne službenike i namještenike) te obvezne doprinose.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Također skupina 32 Materijalni rashodi u ukupno planiranim rashodima zastupljena je s postotkom od 20% do 25%, gdje su planirana sredstva za redovno funkcioniranje službe, odnosno za pokriće režijskih troškova, naknada za troškove zaposlenih, nabave materijala i sirovina (namirnice), zakupnina i najamnina, usluga tekućeg i investicijsko održavanja, komunalnih usluga, troškova izdavanja službenih isprava i dr.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Rashodi za nabavu nefinancijske imovine čine udio od 6,6% do 13,2% u odnosu na ukupno planirane rashode, isti se najvećim dijelom odnose na nabavu uredske opreme, namještaja, komunikacijske i informatičke opreme, policijske opreme, vozila i dr. kao i dodatna ulaganja na građevinskim objektima. Rashodi za nabavu nefinancijske imovine najvećim dijelom se financiraju iz sredstava EU.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Promatrajući rashode poslovanja prema izvorima financiranja vidljivo je da se na proračunska sredstva odnosi 82% plana u 2025.g. odnosno 87% u 2026.g. te 91% 2027.g.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Od ostalih izvora financiranja najviše su zastupljeni prihodi od Fondova EU (izvor 56) te Ostalih programa EU (izvor 57), kojima se financiraju rashodi nabave i održavanja opreme, energetska obnova zgrada,, razminiranje, opremanje sustava civilne zaštite za otklanjanje posljedica katastrofa i dr. 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ED7BE8" w:rsidRDefault="0040517B">
      <w:pPr>
        <w:rPr>
          <w:rFonts w:ascii="Arial" w:hAnsi="Arial" w:cs="Arial"/>
          <w:b/>
        </w:rPr>
      </w:pPr>
      <w:r w:rsidRPr="00ED7BE8">
        <w:rPr>
          <w:rFonts w:ascii="Arial" w:hAnsi="Arial" w:cs="Arial"/>
          <w:b/>
        </w:rPr>
        <w:t xml:space="preserve">PRIJENOS SREDSTAVA IZ PRETHODNE I U SLJEDEĆU GODINU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Prijenos sredstava iz 2024.g. u 2025.g. (donos) planiran je u iznosu od 24,6 milijuna eura, uglavnom se odnosi na prihode od posebnih propisa (izvor 43) u iznosu od 20,4 milijuna eura a koji će biti utrošeni za provedbu Nacionalnog plana sigurnosti cestovnog prometa. S izvora 51 - pomoći od institucija i tijela EU </w:t>
      </w:r>
      <w:r w:rsidRPr="00B21E6D">
        <w:rPr>
          <w:rFonts w:ascii="Arial" w:hAnsi="Arial" w:cs="Arial"/>
        </w:rPr>
        <w:lastRenderedPageBreak/>
        <w:t xml:space="preserve">planiran je donos u iznosu od 3,9 milijuna eura za EU projekte koji je bili u nadležnosti Državne uprave za zaštitu i spašavanje (prije spajanja s MUP-om). Također planiran je i prijenos od 0,13 milijun eura s izvora 31 - vlastiti prihodi od prihoda restorana i kantina koji služi za pokriće troškova nabave namirnica kao i prijenos od 0,18 milijuna eura s izvora 52 ostale pomoći.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Prijenos sredstava iz 2025.g. u 2026.g. (odnos) planiran je u iznosu od 15 milijuna eura gdje se uglavnom radi o prihodu s izvora 43 u iznosu od 10,8 milijuna eura vezano uz projekte Nacionalnog plana sigurnosti cestovnog prometa. S izvora 51 - pomoći od institucija i tijela EU planiran je odnos u iznosu od 3,9 milijuna eura za EU projekte. Također planiran je i odnos s izvora 52 ostale pomoći u iznosu od 0,17 milijuna eura kao i 0,13 milijun eura s izvora 31 od prihoda restorana i kantina.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Odnos sredstava iz 2026.g. odnosno donos u 2027.g. planiran je u iznosu od 12,9 milijuna eura te se odnosi na istu skupinu namjenskih prihoda.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Odnos sredstava iz 2027.g. planiran je u iznosu od 11,2 milijuna eura.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  <w:bookmarkStart w:id="0" w:name="_GoBack"/>
      <w:bookmarkEnd w:id="0"/>
    </w:p>
    <w:p w:rsidR="00455870" w:rsidRPr="00ED7BE8" w:rsidRDefault="0040517B">
      <w:pPr>
        <w:rPr>
          <w:rFonts w:ascii="Arial" w:hAnsi="Arial" w:cs="Arial"/>
          <w:b/>
        </w:rPr>
      </w:pPr>
      <w:r w:rsidRPr="00ED7BE8">
        <w:rPr>
          <w:rFonts w:ascii="Arial" w:hAnsi="Arial" w:cs="Arial"/>
          <w:b/>
        </w:rPr>
        <w:t xml:space="preserve">UKUPNE I DOSPJELE OBVEZE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 xml:space="preserve">Stanje ukupnih obveza na dan 31.12.2023. iznosilo je 118.348.597 eura te je stanje dospjelih obveza na dan 31.12.2023. iznosilo 2.187.477 eura. </w:t>
      </w:r>
    </w:p>
    <w:p w:rsidR="00455870" w:rsidRPr="00B21E6D" w:rsidRDefault="0040517B">
      <w:pPr>
        <w:rPr>
          <w:rFonts w:ascii="Arial" w:hAnsi="Arial" w:cs="Arial"/>
        </w:rPr>
      </w:pPr>
      <w:r w:rsidRPr="00B21E6D">
        <w:rPr>
          <w:rFonts w:ascii="Arial" w:hAnsi="Arial" w:cs="Arial"/>
        </w:rPr>
        <w:t>Stanje ukupnih obveza na dan 30.06.2024. iznosilo je 109.072.398 eura te je stanje dospjelih obveza na dan 30.06.2024. iznosilo 3.051.823 eura.</w:t>
      </w:r>
    </w:p>
    <w:sectPr w:rsidR="00455870" w:rsidRPr="00B21E6D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DF4" w:rsidRDefault="009F3DF4" w:rsidP="00F352E6">
      <w:r>
        <w:separator/>
      </w:r>
    </w:p>
  </w:endnote>
  <w:endnote w:type="continuationSeparator" w:id="0">
    <w:p w:rsidR="009F3DF4" w:rsidRDefault="009F3DF4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8548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D7BE8" w:rsidRPr="00ED7BE8" w:rsidRDefault="00ED7BE8">
        <w:pPr>
          <w:pStyle w:val="Footer"/>
          <w:jc w:val="center"/>
          <w:rPr>
            <w:rFonts w:ascii="Arial" w:hAnsi="Arial" w:cs="Arial"/>
          </w:rPr>
        </w:pPr>
        <w:r w:rsidRPr="00ED7BE8">
          <w:rPr>
            <w:rFonts w:ascii="Arial" w:hAnsi="Arial" w:cs="Arial"/>
          </w:rPr>
          <w:fldChar w:fldCharType="begin"/>
        </w:r>
        <w:r w:rsidRPr="00ED7BE8">
          <w:rPr>
            <w:rFonts w:ascii="Arial" w:hAnsi="Arial" w:cs="Arial"/>
          </w:rPr>
          <w:instrText>PAGE   \* MERGEFORMAT</w:instrText>
        </w:r>
        <w:r w:rsidRPr="00ED7BE8">
          <w:rPr>
            <w:rFonts w:ascii="Arial" w:hAnsi="Arial" w:cs="Arial"/>
          </w:rPr>
          <w:fldChar w:fldCharType="separate"/>
        </w:r>
        <w:r w:rsidRPr="00ED7BE8">
          <w:rPr>
            <w:rFonts w:ascii="Arial" w:hAnsi="Arial" w:cs="Arial"/>
            <w:noProof/>
            <w:lang w:val="hr-HR"/>
          </w:rPr>
          <w:t>3</w:t>
        </w:r>
        <w:r w:rsidRPr="00ED7BE8">
          <w:rPr>
            <w:rFonts w:ascii="Arial" w:hAnsi="Arial" w:cs="Arial"/>
          </w:rPr>
          <w:fldChar w:fldCharType="end"/>
        </w:r>
      </w:p>
    </w:sdtContent>
  </w:sdt>
  <w:p w:rsidR="00322898" w:rsidRPr="00D769ED" w:rsidRDefault="009F3DF4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DF4" w:rsidRDefault="009F3DF4" w:rsidP="00F352E6">
      <w:r>
        <w:separator/>
      </w:r>
    </w:p>
  </w:footnote>
  <w:footnote w:type="continuationSeparator" w:id="0">
    <w:p w:rsidR="009F3DF4" w:rsidRDefault="009F3DF4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9F3DF4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0517B"/>
    <w:rsid w:val="00455870"/>
    <w:rsid w:val="00463609"/>
    <w:rsid w:val="00480C76"/>
    <w:rsid w:val="004C01B5"/>
    <w:rsid w:val="004D5658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8C1DF9"/>
    <w:rsid w:val="009359F2"/>
    <w:rsid w:val="0094382E"/>
    <w:rsid w:val="00951B1A"/>
    <w:rsid w:val="009E33D3"/>
    <w:rsid w:val="009F3DF4"/>
    <w:rsid w:val="00A021A2"/>
    <w:rsid w:val="00A320E5"/>
    <w:rsid w:val="00A70582"/>
    <w:rsid w:val="00AB5FEA"/>
    <w:rsid w:val="00AB7B4E"/>
    <w:rsid w:val="00B15946"/>
    <w:rsid w:val="00B21E6D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ED7BE8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3BFC6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F9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1513-EC32-4EA5-B7D1-BB5CEF40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Podrug Ivan</cp:lastModifiedBy>
  <cp:revision>3</cp:revision>
  <cp:lastPrinted>2024-12-18T09:27:00Z</cp:lastPrinted>
  <dcterms:created xsi:type="dcterms:W3CDTF">2024-11-08T12:14:00Z</dcterms:created>
  <dcterms:modified xsi:type="dcterms:W3CDTF">2024-12-18T09:27:00Z</dcterms:modified>
</cp:coreProperties>
</file>