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bookmarkStart w:id="0" w:name="_GoBack"/>
      <w:bookmarkEnd w:id="0"/>
    </w:p>
    <w:p w:rsidR="00A46866" w:rsidRDefault="00F51091">
      <w:pPr>
        <w:pStyle w:val="Naslov1"/>
      </w:pPr>
      <w:r>
        <w:t>040 MINISTARSTVO UNUTARNJIH POSLOVA</w:t>
      </w:r>
    </w:p>
    <w:p w:rsidR="00A46866" w:rsidRDefault="00F51091">
      <w:r>
        <w:t xml:space="preserve">Ministarstvo unutarnjih poslova (u daljnjem tekstu: Ministarstvo), obavlja upravne, stručne i druge poslove koji se </w:t>
      </w:r>
    </w:p>
    <w:p w:rsidR="00A46866" w:rsidRDefault="00F51091">
      <w:r>
        <w:t xml:space="preserve">odnose na zaštitu života, osobnog integriteta i imovine od kažnjivih ponašanja (policijski poslovi) i to: sprječavanje </w:t>
      </w:r>
    </w:p>
    <w:p w:rsidR="00A46866" w:rsidRDefault="00F51091">
      <w:r>
        <w:t xml:space="preserve">i suzbijanje kažnjivih ponašanja; pronalazak osoba osumnjičenih za kaznena djela i prekršaje; osiguranje </w:t>
      </w:r>
    </w:p>
    <w:p w:rsidR="00A46866" w:rsidRDefault="00F51091">
      <w:r>
        <w:t xml:space="preserve">dostupnosti osumnjičenih osoba nadležnim tijelima; izvidi kaznenih djela i prekršaja; pronalazak nezakonito </w:t>
      </w:r>
    </w:p>
    <w:p w:rsidR="00A46866" w:rsidRDefault="00F51091">
      <w:r>
        <w:t xml:space="preserve">stečene imovine; pronalazak osoba i predmeta; nadzor i osiguranje javnih okupljanja; nadzor i upravljanje </w:t>
      </w:r>
    </w:p>
    <w:p w:rsidR="00A46866" w:rsidRDefault="00F51091">
      <w:r>
        <w:t xml:space="preserve">cestovnim prometom; nadzor državne granice; kontrolu prelaska državne granice; nadzor kretanja i boravka </w:t>
      </w:r>
    </w:p>
    <w:p w:rsidR="00A46866" w:rsidRDefault="00F51091">
      <w:r>
        <w:t xml:space="preserve">stranaca i njihov prihvat; osiguranje i zaštitu određenih osoba, objekata i prostora; osiguranje i zaštitu uhićenih i </w:t>
      </w:r>
    </w:p>
    <w:p w:rsidR="00A46866" w:rsidRDefault="00F51091">
      <w:r>
        <w:t xml:space="preserve">pritvorenih osoba; poslove protueksplozijske zaštite; poslove specijalne policije i druge poslove dodijeljene policiji </w:t>
      </w:r>
    </w:p>
    <w:p w:rsidR="00A46866" w:rsidRDefault="00F51091">
      <w:r>
        <w:t xml:space="preserve">posebnih propisima. Ministarstvo obavlja inspekcijske i druge upravne poslove koji se odnose na zaštitu od požara; </w:t>
      </w:r>
    </w:p>
    <w:p w:rsidR="00A46866" w:rsidRDefault="00F51091">
      <w:r>
        <w:t xml:space="preserve">tehničko nadgledanje postrojenja ugroženih eksplozivnom atmosferom, tehničko nadgledanje tvrtki koje provode </w:t>
      </w:r>
    </w:p>
    <w:p w:rsidR="00A46866" w:rsidRDefault="00F51091">
      <w:r>
        <w:t xml:space="preserve">aktivnosti instaliranja, održavanja i popravka uređaja i instalacija, laboratorijska ispitivanja uređaja i opreme, </w:t>
      </w:r>
    </w:p>
    <w:p w:rsidR="00A46866" w:rsidRDefault="00F51091">
      <w:r>
        <w:t xml:space="preserve">potvrđivanje sukladnosti (certifikaciju) protueksplozijski zaštićene opreme namijenjene eksplozivnoj atmosferi </w:t>
      </w:r>
    </w:p>
    <w:p w:rsidR="00A46866" w:rsidRDefault="00F51091">
      <w:r>
        <w:t xml:space="preserve">plinova, para, maglica i prašine, potvrđivanje sukladnosti (certifikaciju) eksplozivnih tvari; humanitarno </w:t>
      </w:r>
    </w:p>
    <w:p w:rsidR="00A46866" w:rsidRDefault="00F51091">
      <w:r>
        <w:t xml:space="preserve">razminiranje; zaštitarsku i detektivsku djelatnost; zaštitu novčarskih institucija; nadzor stanica za tehnički pregled </w:t>
      </w:r>
    </w:p>
    <w:p w:rsidR="00A46866" w:rsidRDefault="00F51091">
      <w:r>
        <w:t xml:space="preserve">vozila. Ministarstvo obavlja upravne i druge poslove koji se odnose na; prijave i odjave prebivališta i boravišta </w:t>
      </w:r>
    </w:p>
    <w:p w:rsidR="00A46866" w:rsidRDefault="00F51091">
      <w:r>
        <w:t xml:space="preserve">hrvatskih državljana, vođenje zbirke podataka o prebivalištu i boravištu; registre vozila i vozača; registre oružja i </w:t>
      </w:r>
    </w:p>
    <w:p w:rsidR="00A46866" w:rsidRDefault="00F51091">
      <w:r>
        <w:t xml:space="preserve">vlasnika; državljanstvo; registre stranaca i međunarodne zaštite, sudjelovanje u postupku izdavanja viza i </w:t>
      </w:r>
    </w:p>
    <w:p w:rsidR="00A46866" w:rsidRDefault="00F51091">
      <w:r>
        <w:t xml:space="preserve">odobravanja produljenja vizai/ili boravka. Ministarstvo obavlja administrativne i druge poslove koji se odnose na </w:t>
      </w:r>
    </w:p>
    <w:p w:rsidR="00A46866" w:rsidRDefault="00F51091">
      <w:r>
        <w:t xml:space="preserve">upravljanje sustavom javne sigurnosti; izgradnju normativnog sustava; organizacijsku strukturu; upravljanje i </w:t>
      </w:r>
    </w:p>
    <w:p w:rsidR="00A46866" w:rsidRDefault="00F51091">
      <w:r>
        <w:t xml:space="preserve">razvoj ljudskih potencijala; materijalne i financijske resurse te informacijski i dokumentacijski sustav. Ministarstvo </w:t>
      </w:r>
    </w:p>
    <w:p w:rsidR="00A46866" w:rsidRDefault="00F51091">
      <w:r>
        <w:t xml:space="preserve">obavlja poslove koji se odnose na sudjelovanje Republike Hrvatske u radu tijela Europske unije u područjima iz </w:t>
      </w:r>
    </w:p>
    <w:p w:rsidR="00A46866" w:rsidRDefault="00F51091">
      <w:r>
        <w:t xml:space="preserve">njegove nadležnosti te obavlja i druge poslove koji su mu stavljeni u nadležnost posebnih zakonima. Ministarstvo </w:t>
      </w:r>
    </w:p>
    <w:p w:rsidR="00A46866" w:rsidRDefault="00F51091">
      <w:r>
        <w:t xml:space="preserve">obavlja i upravne i stručne poslove koji se odnose na uspostavu sustava civilne zaštite, spašavanja građana, </w:t>
      </w:r>
    </w:p>
    <w:p w:rsidR="00A46866" w:rsidRDefault="00F51091">
      <w:r>
        <w:t xml:space="preserve">materijalnih dobara i drugih dobara u velikim nesrećama i katastrofama; pruža nužnu pomoć radi otklanjanja </w:t>
      </w:r>
    </w:p>
    <w:p w:rsidR="00A46866" w:rsidRDefault="00F51091">
      <w:r>
        <w:t xml:space="preserve">posljedica u slučaju opće opasnosti prouzročene elementarnim nepogodama, epidemijama i drugim katastrofama; </w:t>
      </w:r>
    </w:p>
    <w:p w:rsidR="00A46866" w:rsidRDefault="00F51091">
      <w:r>
        <w:t xml:space="preserve">obavlja inspekcijske poslove u području civilne zaštite, vatrogastva, zaštite od požara, proizvodnje i prometa </w:t>
      </w:r>
    </w:p>
    <w:p w:rsidR="00A46866" w:rsidRDefault="00F51091">
      <w:r>
        <w:t xml:space="preserve">eksplozivnih tvari i oružja, privatne zaštite i detektivskih poslova te protuminskog djelovanja; izdaje dozvole za </w:t>
      </w:r>
    </w:p>
    <w:p w:rsidR="00A46866" w:rsidRDefault="00F51091">
      <w:r>
        <w:t xml:space="preserve">obavljanje nuklearne djelatnosti, za prijevoz i provoz izvora ionizirajućeg zračenja, prati stanje sigurnosti </w:t>
      </w:r>
    </w:p>
    <w:p w:rsidR="00A46866" w:rsidRDefault="00F51091">
      <w:r>
        <w:t xml:space="preserve">nuklearnih postrojenja u regiji i provođenje procjene opasnosti od mogućih nuklearnih nesreća u njima, organizira </w:t>
      </w:r>
    </w:p>
    <w:p w:rsidR="00A46866" w:rsidRDefault="00F51091">
      <w:r>
        <w:t xml:space="preserve">sustav pripravnosti za slučaj izvanrednog događaja; osigurava stručnu pomoć u slučaju nuklearne nezgode/nesreće, </w:t>
      </w:r>
    </w:p>
    <w:p w:rsidR="00A46866" w:rsidRDefault="00F51091">
      <w:r>
        <w:t xml:space="preserve">prikuplja i obrađuje podatke o područjima i objektima zagađenim minsko-eksplozivnim sredstvima i </w:t>
      </w:r>
    </w:p>
    <w:p w:rsidR="00A46866" w:rsidRDefault="00F51091">
      <w:r>
        <w:t xml:space="preserve">neeksplodiranim ubojnim sredstvima (u daljnjem tekstu: MES i NUS) ili njihovim dijelovima; vodi evidencije o </w:t>
      </w:r>
    </w:p>
    <w:p w:rsidR="00A46866" w:rsidRDefault="00F51091">
      <w:r>
        <w:t xml:space="preserve">razminiranim područjima i/ili građevinama, o minski sumnjivom području, pronađenom i uništenom MES-u, NUSu </w:t>
      </w:r>
    </w:p>
    <w:p w:rsidR="00A46866" w:rsidRDefault="00F51091">
      <w:r>
        <w:t xml:space="preserve">i njihovim dijelovima, obilježava minski sumnjiva područja; izrađuje idejne planove razminiranja i izvedbene </w:t>
      </w:r>
    </w:p>
    <w:p w:rsidR="00A46866" w:rsidRDefault="00F51091">
      <w:r>
        <w:t xml:space="preserve">planove tehničkih izvida; kontrolira kvalitetu razminiranja i tehničkih izvida na radilištu; izdaje potvrde o </w:t>
      </w:r>
    </w:p>
    <w:p w:rsidR="00A46866" w:rsidRDefault="00F51091">
      <w:r>
        <w:t xml:space="preserve">isključenju razminiranog područja i/ili građevine iz minski sumnjivog područja; obavlja poslove tehničkog izvida </w:t>
      </w:r>
    </w:p>
    <w:p w:rsidR="00A46866" w:rsidRDefault="00F51091">
      <w:r>
        <w:t xml:space="preserve">minski sumnjivog područja primjenom odobrenih metoda; pruža stručnu pomoć i daje potrebne podatke nadležnim </w:t>
      </w:r>
    </w:p>
    <w:p w:rsidR="00A46866" w:rsidRDefault="00F51091">
      <w:r>
        <w:lastRenderedPageBreak/>
        <w:t xml:space="preserve">tijelima o opasnostima od MES-a i NUS-a i njihovih dijelova; informira i educira stanovništvo o opasnostima od </w:t>
      </w:r>
    </w:p>
    <w:p w:rsidR="00A46866" w:rsidRDefault="00F51091">
      <w:r>
        <w:t xml:space="preserve">MES-a i NUS-a i njihovih dijelova te poduzima mjere zaštite i spašavanja stanovništva; izdaje odobrenja za </w:t>
      </w:r>
    </w:p>
    <w:p w:rsidR="00A46866" w:rsidRDefault="00F51091">
      <w:r>
        <w:t xml:space="preserve">obavljanje poslova razminiranja pravnim i fizičkim osobama; ustupa poslove razminiranja ovlaštenim pravnim </w:t>
      </w:r>
    </w:p>
    <w:p w:rsidR="00A46866" w:rsidRDefault="00F51091">
      <w:r>
        <w:t>osobama i/ili obrtnicima; surađuje s međunarodnim subjektima u razminiranju.</w:t>
      </w:r>
    </w:p>
    <w:tbl>
      <w:tblPr>
        <w:tblStyle w:val="StilTablice"/>
        <w:tblW w:w="10206" w:type="dxa"/>
        <w:jc w:val="center"/>
        <w:tblLook w:val="04A0" w:firstRow="1" w:lastRow="0" w:firstColumn="1" w:lastColumn="0" w:noHBand="0" w:noVBand="1"/>
      </w:tblPr>
      <w:tblGrid>
        <w:gridCol w:w="1471"/>
        <w:gridCol w:w="1529"/>
        <w:gridCol w:w="1559"/>
        <w:gridCol w:w="1559"/>
        <w:gridCol w:w="1559"/>
        <w:gridCol w:w="1559"/>
        <w:gridCol w:w="970"/>
      </w:tblGrid>
      <w:tr w:rsidR="00A46866">
        <w:trPr>
          <w:jc w:val="center"/>
        </w:trPr>
        <w:tc>
          <w:tcPr>
            <w:tcW w:w="1530" w:type="dxa"/>
            <w:shd w:val="clear" w:color="auto" w:fill="B5C0D8"/>
          </w:tcPr>
          <w:p w:rsidR="00A46866" w:rsidRDefault="00A46866">
            <w:pPr>
              <w:pStyle w:val="CellHeader"/>
              <w:jc w:val="center"/>
            </w:pP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04005 Ministarstvo unutarnjih poslova</w:t>
            </w:r>
          </w:p>
        </w:tc>
        <w:tc>
          <w:tcPr>
            <w:tcW w:w="1632" w:type="dxa"/>
            <w:vAlign w:val="top"/>
          </w:tcPr>
          <w:p w:rsidR="00A46866" w:rsidRDefault="00F51091">
            <w:pPr>
              <w:jc w:val="right"/>
            </w:pPr>
            <w:r>
              <w:t>886.630.706</w:t>
            </w:r>
          </w:p>
        </w:tc>
        <w:tc>
          <w:tcPr>
            <w:tcW w:w="1632" w:type="dxa"/>
            <w:vAlign w:val="top"/>
          </w:tcPr>
          <w:p w:rsidR="00A46866" w:rsidRDefault="00F51091">
            <w:pPr>
              <w:jc w:val="right"/>
            </w:pPr>
            <w:r>
              <w:t>1.066.130.855</w:t>
            </w:r>
          </w:p>
        </w:tc>
        <w:tc>
          <w:tcPr>
            <w:tcW w:w="1632" w:type="dxa"/>
            <w:vAlign w:val="top"/>
          </w:tcPr>
          <w:p w:rsidR="00A46866" w:rsidRDefault="00F51091">
            <w:pPr>
              <w:jc w:val="right"/>
            </w:pPr>
            <w:r>
              <w:t>1.179.569.150</w:t>
            </w:r>
          </w:p>
        </w:tc>
        <w:tc>
          <w:tcPr>
            <w:tcW w:w="1632" w:type="dxa"/>
            <w:vAlign w:val="top"/>
          </w:tcPr>
          <w:p w:rsidR="00A46866" w:rsidRDefault="00F51091">
            <w:pPr>
              <w:jc w:val="right"/>
            </w:pPr>
            <w:r>
              <w:t>1.256.428.393</w:t>
            </w:r>
          </w:p>
        </w:tc>
        <w:tc>
          <w:tcPr>
            <w:tcW w:w="1632" w:type="dxa"/>
            <w:vAlign w:val="top"/>
          </w:tcPr>
          <w:p w:rsidR="00A46866" w:rsidRDefault="00F51091">
            <w:pPr>
              <w:jc w:val="right"/>
            </w:pPr>
            <w:r>
              <w:t>1.190.420.615</w:t>
            </w:r>
          </w:p>
        </w:tc>
        <w:tc>
          <w:tcPr>
            <w:tcW w:w="510" w:type="dxa"/>
            <w:vAlign w:val="top"/>
          </w:tcPr>
          <w:p w:rsidR="00A46866" w:rsidRDefault="00F51091">
            <w:pPr>
              <w:jc w:val="right"/>
            </w:pPr>
            <w:r>
              <w:t>110,6</w:t>
            </w:r>
          </w:p>
        </w:tc>
      </w:tr>
      <w:tr w:rsidR="00A46866">
        <w:trPr>
          <w:jc w:val="center"/>
        </w:trPr>
        <w:tc>
          <w:tcPr>
            <w:tcW w:w="1530" w:type="dxa"/>
            <w:vAlign w:val="top"/>
          </w:tcPr>
          <w:p w:rsidR="00A46866" w:rsidRDefault="00F51091">
            <w:pPr>
              <w:pStyle w:val="CellColumn"/>
              <w:jc w:val="left"/>
            </w:pPr>
            <w:r>
              <w:rPr>
                <w:rFonts w:cs="Times New Roman"/>
              </w:rPr>
              <w:t>04030 Proračunski korisnici u funkciji zaštite i spašavanja</w:t>
            </w:r>
          </w:p>
        </w:tc>
        <w:tc>
          <w:tcPr>
            <w:tcW w:w="1632" w:type="dxa"/>
            <w:vAlign w:val="top"/>
          </w:tcPr>
          <w:p w:rsidR="00A46866" w:rsidRDefault="00F51091">
            <w:pPr>
              <w:jc w:val="right"/>
            </w:pPr>
            <w:r>
              <w:t>0</w:t>
            </w:r>
          </w:p>
        </w:tc>
        <w:tc>
          <w:tcPr>
            <w:tcW w:w="1632" w:type="dxa"/>
            <w:vAlign w:val="top"/>
          </w:tcPr>
          <w:p w:rsidR="00A46866" w:rsidRDefault="00F51091">
            <w:pPr>
              <w:jc w:val="right"/>
            </w:pPr>
            <w:r>
              <w:t>0</w:t>
            </w:r>
          </w:p>
        </w:tc>
        <w:tc>
          <w:tcPr>
            <w:tcW w:w="1632" w:type="dxa"/>
            <w:vAlign w:val="top"/>
          </w:tcPr>
          <w:p w:rsidR="00A46866" w:rsidRDefault="00F51091">
            <w:pPr>
              <w:jc w:val="right"/>
            </w:pPr>
            <w:r>
              <w:t>0</w:t>
            </w:r>
          </w:p>
        </w:tc>
        <w:tc>
          <w:tcPr>
            <w:tcW w:w="1632" w:type="dxa"/>
            <w:vAlign w:val="top"/>
          </w:tcPr>
          <w:p w:rsidR="00A46866" w:rsidRDefault="00F51091">
            <w:pPr>
              <w:jc w:val="right"/>
            </w:pPr>
            <w:r>
              <w:t>0</w:t>
            </w:r>
          </w:p>
        </w:tc>
        <w:tc>
          <w:tcPr>
            <w:tcW w:w="1632" w:type="dxa"/>
            <w:vAlign w:val="top"/>
          </w:tcPr>
          <w:p w:rsidR="00A46866" w:rsidRDefault="00F51091">
            <w:pPr>
              <w:jc w:val="right"/>
            </w:pPr>
            <w:r>
              <w:t>0</w:t>
            </w:r>
          </w:p>
        </w:tc>
        <w:tc>
          <w:tcPr>
            <w:tcW w:w="510" w:type="dxa"/>
            <w:vAlign w:val="top"/>
          </w:tcPr>
          <w:p w:rsidR="00A46866" w:rsidRDefault="00F51091">
            <w:pPr>
              <w:jc w:val="right"/>
            </w:pPr>
            <w:r>
              <w:t>0</w:t>
            </w:r>
          </w:p>
        </w:tc>
      </w:tr>
      <w:tr w:rsidR="00A46866">
        <w:trPr>
          <w:jc w:val="center"/>
        </w:trPr>
        <w:tc>
          <w:tcPr>
            <w:tcW w:w="1530" w:type="dxa"/>
            <w:vAlign w:val="top"/>
          </w:tcPr>
          <w:p w:rsidR="00A46866" w:rsidRDefault="00F51091">
            <w:pPr>
              <w:pStyle w:val="CellColumn"/>
              <w:jc w:val="left"/>
            </w:pPr>
            <w:r>
              <w:rPr>
                <w:rFonts w:cs="Times New Roman"/>
              </w:rPr>
              <w:t>04035 Hrvatski centar za razminiranje</w:t>
            </w:r>
          </w:p>
        </w:tc>
        <w:tc>
          <w:tcPr>
            <w:tcW w:w="1632" w:type="dxa"/>
            <w:vAlign w:val="top"/>
          </w:tcPr>
          <w:p w:rsidR="00A46866" w:rsidRDefault="00F51091">
            <w:pPr>
              <w:jc w:val="right"/>
            </w:pPr>
            <w:r>
              <w:t>0</w:t>
            </w:r>
          </w:p>
        </w:tc>
        <w:tc>
          <w:tcPr>
            <w:tcW w:w="1632" w:type="dxa"/>
            <w:vAlign w:val="top"/>
          </w:tcPr>
          <w:p w:rsidR="00A46866" w:rsidRDefault="00F51091">
            <w:pPr>
              <w:jc w:val="right"/>
            </w:pPr>
            <w:r>
              <w:t>0</w:t>
            </w:r>
          </w:p>
        </w:tc>
        <w:tc>
          <w:tcPr>
            <w:tcW w:w="1632" w:type="dxa"/>
            <w:vAlign w:val="top"/>
          </w:tcPr>
          <w:p w:rsidR="00A46866" w:rsidRDefault="00F51091">
            <w:pPr>
              <w:jc w:val="right"/>
            </w:pPr>
            <w:r>
              <w:t>0</w:t>
            </w:r>
          </w:p>
        </w:tc>
        <w:tc>
          <w:tcPr>
            <w:tcW w:w="1632" w:type="dxa"/>
            <w:vAlign w:val="top"/>
          </w:tcPr>
          <w:p w:rsidR="00A46866" w:rsidRDefault="00F51091">
            <w:pPr>
              <w:jc w:val="right"/>
            </w:pPr>
            <w:r>
              <w:t>0</w:t>
            </w:r>
          </w:p>
        </w:tc>
        <w:tc>
          <w:tcPr>
            <w:tcW w:w="1632" w:type="dxa"/>
            <w:vAlign w:val="top"/>
          </w:tcPr>
          <w:p w:rsidR="00A46866" w:rsidRDefault="00F51091">
            <w:pPr>
              <w:jc w:val="right"/>
            </w:pPr>
            <w:r>
              <w:t>0</w:t>
            </w:r>
          </w:p>
        </w:tc>
        <w:tc>
          <w:tcPr>
            <w:tcW w:w="510" w:type="dxa"/>
            <w:vAlign w:val="top"/>
          </w:tcPr>
          <w:p w:rsidR="00A46866" w:rsidRDefault="00F51091">
            <w:pPr>
              <w:jc w:val="right"/>
            </w:pPr>
            <w:r>
              <w:t>0</w:t>
            </w:r>
          </w:p>
        </w:tc>
      </w:tr>
      <w:tr w:rsidR="00A46866">
        <w:trPr>
          <w:jc w:val="center"/>
        </w:trPr>
        <w:tc>
          <w:tcPr>
            <w:tcW w:w="1530" w:type="dxa"/>
            <w:vAlign w:val="top"/>
          </w:tcPr>
          <w:p w:rsidR="00A46866" w:rsidRDefault="00F51091">
            <w:pPr>
              <w:pStyle w:val="CellColumn"/>
              <w:jc w:val="left"/>
            </w:pPr>
            <w:r>
              <w:rPr>
                <w:rFonts w:cs="Times New Roman"/>
              </w:rPr>
              <w:t>04040 Agencija za prostore ugrožene eksplozivnom atmosferom</w:t>
            </w:r>
          </w:p>
        </w:tc>
        <w:tc>
          <w:tcPr>
            <w:tcW w:w="1632" w:type="dxa"/>
            <w:vAlign w:val="top"/>
          </w:tcPr>
          <w:p w:rsidR="00A46866" w:rsidRDefault="00F51091">
            <w:pPr>
              <w:jc w:val="right"/>
            </w:pPr>
            <w:r>
              <w:t>0</w:t>
            </w:r>
          </w:p>
        </w:tc>
        <w:tc>
          <w:tcPr>
            <w:tcW w:w="1632" w:type="dxa"/>
            <w:vAlign w:val="top"/>
          </w:tcPr>
          <w:p w:rsidR="00A46866" w:rsidRDefault="00F51091">
            <w:pPr>
              <w:jc w:val="right"/>
            </w:pPr>
            <w:r>
              <w:t>0</w:t>
            </w:r>
          </w:p>
        </w:tc>
        <w:tc>
          <w:tcPr>
            <w:tcW w:w="1632" w:type="dxa"/>
            <w:vAlign w:val="top"/>
          </w:tcPr>
          <w:p w:rsidR="00A46866" w:rsidRDefault="00F51091">
            <w:pPr>
              <w:jc w:val="right"/>
            </w:pPr>
            <w:r>
              <w:t>0</w:t>
            </w:r>
          </w:p>
        </w:tc>
        <w:tc>
          <w:tcPr>
            <w:tcW w:w="1632" w:type="dxa"/>
            <w:vAlign w:val="top"/>
          </w:tcPr>
          <w:p w:rsidR="00A46866" w:rsidRDefault="00F51091">
            <w:pPr>
              <w:jc w:val="right"/>
            </w:pPr>
            <w:r>
              <w:t>0</w:t>
            </w:r>
          </w:p>
        </w:tc>
        <w:tc>
          <w:tcPr>
            <w:tcW w:w="1632" w:type="dxa"/>
            <w:vAlign w:val="top"/>
          </w:tcPr>
          <w:p w:rsidR="00A46866" w:rsidRDefault="00F51091">
            <w:pPr>
              <w:jc w:val="right"/>
            </w:pPr>
            <w:r>
              <w:t>0</w:t>
            </w:r>
          </w:p>
        </w:tc>
        <w:tc>
          <w:tcPr>
            <w:tcW w:w="510" w:type="dxa"/>
            <w:vAlign w:val="top"/>
          </w:tcPr>
          <w:p w:rsidR="00A46866" w:rsidRDefault="00F51091">
            <w:pPr>
              <w:jc w:val="right"/>
            </w:pPr>
            <w:r>
              <w:t>0</w:t>
            </w:r>
          </w:p>
        </w:tc>
      </w:tr>
      <w:tr w:rsidR="00A46866">
        <w:trPr>
          <w:jc w:val="center"/>
        </w:trPr>
        <w:tc>
          <w:tcPr>
            <w:tcW w:w="1530" w:type="dxa"/>
            <w:shd w:val="clear" w:color="auto" w:fill="B5C0D8"/>
          </w:tcPr>
          <w:p w:rsidR="00A46866" w:rsidRDefault="00F51091">
            <w:pPr>
              <w:pStyle w:val="CellColumn"/>
              <w:jc w:val="left"/>
            </w:pPr>
            <w:r>
              <w:rPr>
                <w:rFonts w:cs="Times New Roman"/>
              </w:rPr>
              <w:t>Ukupno 040</w:t>
            </w:r>
          </w:p>
        </w:tc>
        <w:tc>
          <w:tcPr>
            <w:tcW w:w="1632" w:type="dxa"/>
            <w:shd w:val="clear" w:color="auto" w:fill="B5C0D8"/>
          </w:tcPr>
          <w:p w:rsidR="00A46866" w:rsidRDefault="00F51091">
            <w:pPr>
              <w:jc w:val="right"/>
            </w:pPr>
            <w:r>
              <w:t>886.630.706</w:t>
            </w:r>
          </w:p>
        </w:tc>
        <w:tc>
          <w:tcPr>
            <w:tcW w:w="1632" w:type="dxa"/>
            <w:shd w:val="clear" w:color="auto" w:fill="B5C0D8"/>
          </w:tcPr>
          <w:p w:rsidR="00A46866" w:rsidRDefault="00F51091">
            <w:pPr>
              <w:jc w:val="right"/>
            </w:pPr>
            <w:r>
              <w:t>1.066.130.855</w:t>
            </w:r>
          </w:p>
        </w:tc>
        <w:tc>
          <w:tcPr>
            <w:tcW w:w="1632" w:type="dxa"/>
            <w:shd w:val="clear" w:color="auto" w:fill="B5C0D8"/>
          </w:tcPr>
          <w:p w:rsidR="00A46866" w:rsidRDefault="00F51091">
            <w:pPr>
              <w:jc w:val="right"/>
            </w:pPr>
            <w:r>
              <w:t>1.179.569.150</w:t>
            </w:r>
          </w:p>
        </w:tc>
        <w:tc>
          <w:tcPr>
            <w:tcW w:w="1632" w:type="dxa"/>
            <w:shd w:val="clear" w:color="auto" w:fill="B5C0D8"/>
          </w:tcPr>
          <w:p w:rsidR="00A46866" w:rsidRDefault="00F51091">
            <w:pPr>
              <w:jc w:val="right"/>
            </w:pPr>
            <w:r>
              <w:t>1.256.428.393</w:t>
            </w:r>
          </w:p>
        </w:tc>
        <w:tc>
          <w:tcPr>
            <w:tcW w:w="1632" w:type="dxa"/>
            <w:shd w:val="clear" w:color="auto" w:fill="B5C0D8"/>
          </w:tcPr>
          <w:p w:rsidR="00A46866" w:rsidRDefault="00F51091">
            <w:pPr>
              <w:jc w:val="right"/>
            </w:pPr>
            <w:r>
              <w:t>1.190.420.615</w:t>
            </w:r>
          </w:p>
        </w:tc>
        <w:tc>
          <w:tcPr>
            <w:tcW w:w="510" w:type="dxa"/>
            <w:shd w:val="clear" w:color="auto" w:fill="B5C0D8"/>
          </w:tcPr>
          <w:p w:rsidR="00A46866" w:rsidRDefault="00F51091">
            <w:pPr>
              <w:jc w:val="right"/>
            </w:pPr>
            <w:r>
              <w:t>110,6</w:t>
            </w:r>
          </w:p>
        </w:tc>
      </w:tr>
    </w:tbl>
    <w:p w:rsidR="00A46866" w:rsidRDefault="00A46866">
      <w:pPr>
        <w:jc w:val="left"/>
      </w:pPr>
    </w:p>
    <w:p w:rsidR="00A46866" w:rsidRDefault="00F51091">
      <w:pPr>
        <w:pStyle w:val="Naslov4"/>
      </w:pPr>
      <w:r>
        <w:t>A553131 ADMINISTRACIJA I UPRAVLJANJE</w:t>
      </w:r>
    </w:p>
    <w:p w:rsidR="00A46866" w:rsidRDefault="00F51091">
      <w:pPr>
        <w:pStyle w:val="Naslov8"/>
        <w:jc w:val="left"/>
      </w:pPr>
      <w:r>
        <w:t>Zakonske i druge pravne osnove</w:t>
      </w:r>
    </w:p>
    <w:p w:rsidR="00A46866" w:rsidRDefault="00F51091">
      <w:r>
        <w:t>Uredba o unutarnjem ustrojstvu MUP-a, Zakon o policiji, čl. 17. beneficirani staž - Uredba o radnim mjestima policijskih službenika kojima se staž osiguranja računa u povećanom trajanju, čl. 2.1 otpremnine, čl.22.-24. -naknade uslijed smrti, ozljeda, čl. 43. klasifikacija radnih mjesta policijskih službenika - Uredba o Klasifikaciji radnih mjesta policijskih službenika, čl. 56. zvanja radnih mjesta policijskih službenika - Uredba o uvjetima za stjecanje policijskih zvanja, oznakama policijskih zvanja, funkcionalnim oznakama radnih mjesta, promaknuću i napredovanju kroz policijska zvanja, čl. 64.a. naknada za stanovanje – Odluka o visini naknade za stanovanje, čl.78.-80. plaće policijskih službenika - Uredba o plaćama policijskih službenika, čl. 85.-92. obrazovanje policijskih službenika - Pravilnik o policijskom obrazovanju, Zakon o policijskim poslovima i ovlastima, Zakon o državnim službenicima i namještenicima, Uredba o nazivima radnih mjesta i koeficijentima složenosti poslova u državnoj službi, Kolektivni ugovor za državne službenike i namještenike, Odluka o visini dnevnice za službeno putovanje u inozemstvo za korisnike koji se financiraju iz sredstava državnog proračuna, Pravilnik o policijskim časnicima za vezu, Zakon o razvojnoj suradnji i humanitarnoj pomoći, Zakon o sudjelovanju pripadnika oružanih snaga RH, policije, civilne zaštite te državnih službenika i namještenika u mirovnim operacijama i drugim aktivnostima u inozemstvu, Pravilnik o upućivanju policijskih službenika u mirovne operacije i druge aktivnosti u inozemstvu, Odluka o iznosu materijalnih prava za policijske službenike koji su upućeni u mirovnu operaciju.</w:t>
      </w:r>
    </w:p>
    <w:tbl>
      <w:tblPr>
        <w:tblStyle w:val="StilTablice"/>
        <w:tblW w:w="10206" w:type="dxa"/>
        <w:jc w:val="center"/>
        <w:tblLook w:val="04A0" w:firstRow="1" w:lastRow="0" w:firstColumn="1" w:lastColumn="0" w:noHBand="0" w:noVBand="1"/>
      </w:tblPr>
      <w:tblGrid>
        <w:gridCol w:w="1441"/>
        <w:gridCol w:w="1559"/>
        <w:gridCol w:w="1559"/>
        <w:gridCol w:w="1559"/>
        <w:gridCol w:w="1559"/>
        <w:gridCol w:w="1559"/>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A553131</w:t>
            </w:r>
          </w:p>
        </w:tc>
        <w:tc>
          <w:tcPr>
            <w:tcW w:w="1632" w:type="dxa"/>
            <w:vAlign w:val="top"/>
          </w:tcPr>
          <w:p w:rsidR="00A46866" w:rsidRDefault="00F51091">
            <w:pPr>
              <w:jc w:val="right"/>
            </w:pPr>
            <w:r>
              <w:t>705.892.864</w:t>
            </w:r>
          </w:p>
        </w:tc>
        <w:tc>
          <w:tcPr>
            <w:tcW w:w="1632" w:type="dxa"/>
            <w:vAlign w:val="top"/>
          </w:tcPr>
          <w:p w:rsidR="00A46866" w:rsidRDefault="00F51091">
            <w:pPr>
              <w:jc w:val="right"/>
            </w:pPr>
            <w:r>
              <w:t>822.634.440</w:t>
            </w:r>
          </w:p>
        </w:tc>
        <w:tc>
          <w:tcPr>
            <w:tcW w:w="1632" w:type="dxa"/>
            <w:vAlign w:val="top"/>
          </w:tcPr>
          <w:p w:rsidR="00A46866" w:rsidRDefault="00F51091">
            <w:pPr>
              <w:jc w:val="right"/>
            </w:pPr>
            <w:r>
              <w:t>927.969.800</w:t>
            </w:r>
          </w:p>
        </w:tc>
        <w:tc>
          <w:tcPr>
            <w:tcW w:w="1632" w:type="dxa"/>
            <w:vAlign w:val="top"/>
          </w:tcPr>
          <w:p w:rsidR="00A46866" w:rsidRDefault="00F51091">
            <w:pPr>
              <w:jc w:val="right"/>
            </w:pPr>
            <w:r>
              <w:t>941.905.000</w:t>
            </w:r>
          </w:p>
        </w:tc>
        <w:tc>
          <w:tcPr>
            <w:tcW w:w="1632" w:type="dxa"/>
            <w:vAlign w:val="top"/>
          </w:tcPr>
          <w:p w:rsidR="00A46866" w:rsidRDefault="00F51091">
            <w:pPr>
              <w:jc w:val="right"/>
            </w:pPr>
            <w:r>
              <w:t>948.429.265</w:t>
            </w:r>
          </w:p>
        </w:tc>
        <w:tc>
          <w:tcPr>
            <w:tcW w:w="510" w:type="dxa"/>
            <w:vAlign w:val="top"/>
          </w:tcPr>
          <w:p w:rsidR="00A46866" w:rsidRDefault="00F51091">
            <w:pPr>
              <w:jc w:val="right"/>
            </w:pPr>
            <w:r>
              <w:t>112,8</w:t>
            </w:r>
          </w:p>
        </w:tc>
      </w:tr>
    </w:tbl>
    <w:p w:rsidR="00A46866" w:rsidRDefault="00A46866">
      <w:pPr>
        <w:jc w:val="left"/>
      </w:pPr>
    </w:p>
    <w:p w:rsidR="00A46866" w:rsidRDefault="00F51091">
      <w:r>
        <w:t xml:space="preserve">Ova aktivnost uključuje sredstva koja su potrebna za administrativne i ostale tekuće troškove vezane uz redovno poslovanje Ministarstva. U okviru ove aktivnosti planirana su sredstva za poslovanje 20 (dvadeset) policijskih uprava </w:t>
      </w:r>
      <w:r>
        <w:lastRenderedPageBreak/>
        <w:t xml:space="preserve">i sjedišta Ministarstva (Ravnateljstvo policije, Ravnateljstvo civilne zaštite, ostale uprave i samostalni sektori u sjedištu ministarstva).  </w:t>
      </w:r>
    </w:p>
    <w:p w:rsidR="00A46866" w:rsidRDefault="00F51091">
      <w:r>
        <w:t>Kroz aktivnost Administracija i upravljanje najveći udio planiranih sredstva odnosi se na skupinu 31 rashodi za zaposlene koji iznose 794.834.000 eur / 85,66% u 2024., 807.824.000 eur / 85,76% u 2025.g. i 812.836.000 eur /85,70% u 2026.g. gdje su planirana sredstva za plaće i doprinose »na« plaću, prekovremeni rad, za ostale materijalne rashode pripisane Zakonom o policiji te Kolektivnim ugovorom za državne službenike i namještenike (regres, božićnica, dar za djecu, jubilarne nagrade, otpremnine, naknade za bolest, invalidnost i smrtni slučaj). Za skupinu 32 materijalni rashodi planirano je 128.111.800 eur / 13,81% u 2024.g., 128.384.000 eur / 13,63% u 2025.g. i 129.896.265 eur / 13,70% u 2026.g. Sredstva su planirana za naknade troškova zaposlenima (prijevoz na posao i s posla, dnevnice, terenski dodatak, naknada za stanovanje, stručno usavršavanje zaposlenika), podmirenje režijskih troškova (struja, voda, plin, komunalne usluge, usluge telefona, pošte), za nabavu uredskog, potrošnog i higijenskog materijala, za održavanje prijevoznih sredstava (uključujući i nabavu auto guma, registraciju, osiguranje), za najam građevinskih objekata, na najam opreme i vozila putem operativnog leasinga koja su neophodna za nesmetano funkcioniranje redovnih aktivnosti policije, za tekuće održavanje građevinskih objekata i opreme, za zdravstvene usluge djelatnika, za nabavu namirnica. Također unutar ove skupine rashoda planiraju se sredstva na podmirenje rashoda vezanih uz izdavanje plativih tiskanica (osobne iskaznice, putovnice, putni listovi, registarske pločice i dr.) koje na godišnjoj razini iznose 26.550.000 eur, što je 20,72% materijalnih rashoda u 2024.g., 20,68% u 2025.g. i 20,44% u 2026.g. Ovi rashodi planiraju se iz Ostalih prihoda za posebne namjene koji se ostvaruju uplatom građana i isti ovise o potražnji građana za izdavanjem određenih dokumenta. Za skupinu 37 Naknade građanima i kućanstvima planirana su sredstva u iznosu od 2.880.000 eur /0,31% za 2024. i 2025.g. te 0,30% za 2026.g. Za skupinu 38 Ostali rashodi planirana su sredstva u iznosu od 1.934.000 eur/0,21% u 2024.g., 2.607.000 eur/0,28% u 2025.g. i 2.607.000 eur/0,27% u 2026.g. Na ovim skupinama rashoda planirana su sredstva za potporu djecu poginulih i umrlih policijskih službenika za vrijeme trajanja redovnog školovanja, za naknade polaznicima Programa srednjoškolskog obrazovanja odraslih za zanimanje policajac te za isplatu ugovorenih kazni i ostalih naknada šteta. Na skupini 42, izvoru 51 planirani su rashodi za nabavu opreme za održavanje i zaštitu.</w:t>
      </w:r>
    </w:p>
    <w:p w:rsidR="00A46866" w:rsidRDefault="00F51091">
      <w:pPr>
        <w:pStyle w:val="Naslov4"/>
      </w:pPr>
      <w:r>
        <w:t>A553175 ADMINISTRACIJA I UPRAVLJANJE - ILEGALNE MIGRACIJE</w:t>
      </w:r>
    </w:p>
    <w:p w:rsidR="00A46866" w:rsidRDefault="00F51091">
      <w:pPr>
        <w:pStyle w:val="Naslov8"/>
        <w:jc w:val="left"/>
      </w:pPr>
      <w:r>
        <w:t>Zakonske i druge pravne osnove</w:t>
      </w:r>
    </w:p>
    <w:p w:rsidR="00A46866" w:rsidRDefault="00F51091">
      <w:r>
        <w:t xml:space="preserve">Uredba o unutarnjem ustrojstvu MUP-a, Zakon o policiji - čl. 121, Zakon o strancima i Zakon o međunarodnoj i </w:t>
      </w:r>
    </w:p>
    <w:p w:rsidR="00A46866" w:rsidRDefault="00F51091">
      <w:r>
        <w:t>privremenoj zaštiti.</w:t>
      </w:r>
    </w:p>
    <w:tbl>
      <w:tblPr>
        <w:tblStyle w:val="StilTablice"/>
        <w:tblW w:w="10206" w:type="dxa"/>
        <w:jc w:val="center"/>
        <w:tblLook w:val="04A0" w:firstRow="1" w:lastRow="0" w:firstColumn="1" w:lastColumn="0" w:noHBand="0" w:noVBand="1"/>
      </w:tblPr>
      <w:tblGrid>
        <w:gridCol w:w="1452"/>
        <w:gridCol w:w="1556"/>
        <w:gridCol w:w="1557"/>
        <w:gridCol w:w="1557"/>
        <w:gridCol w:w="1557"/>
        <w:gridCol w:w="1557"/>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A553175</w:t>
            </w:r>
          </w:p>
        </w:tc>
        <w:tc>
          <w:tcPr>
            <w:tcW w:w="1632" w:type="dxa"/>
            <w:vAlign w:val="top"/>
          </w:tcPr>
          <w:p w:rsidR="00A46866" w:rsidRDefault="00F51091">
            <w:pPr>
              <w:jc w:val="right"/>
            </w:pPr>
            <w:r>
              <w:t>20.700.834</w:t>
            </w:r>
          </w:p>
        </w:tc>
        <w:tc>
          <w:tcPr>
            <w:tcW w:w="1632" w:type="dxa"/>
            <w:vAlign w:val="top"/>
          </w:tcPr>
          <w:p w:rsidR="00A46866" w:rsidRDefault="00F51091">
            <w:pPr>
              <w:jc w:val="right"/>
            </w:pPr>
            <w:r>
              <w:t>21.011.000</w:t>
            </w:r>
          </w:p>
        </w:tc>
        <w:tc>
          <w:tcPr>
            <w:tcW w:w="1632" w:type="dxa"/>
            <w:vAlign w:val="top"/>
          </w:tcPr>
          <w:p w:rsidR="00A46866" w:rsidRDefault="00F51091">
            <w:pPr>
              <w:jc w:val="right"/>
            </w:pPr>
            <w:r>
              <w:t>18.711.000</w:t>
            </w:r>
          </w:p>
        </w:tc>
        <w:tc>
          <w:tcPr>
            <w:tcW w:w="1632" w:type="dxa"/>
            <w:vAlign w:val="top"/>
          </w:tcPr>
          <w:p w:rsidR="00A46866" w:rsidRDefault="00F51091">
            <w:pPr>
              <w:jc w:val="right"/>
            </w:pPr>
            <w:r>
              <w:t>18.985.000</w:t>
            </w:r>
          </w:p>
        </w:tc>
        <w:tc>
          <w:tcPr>
            <w:tcW w:w="1632" w:type="dxa"/>
            <w:vAlign w:val="top"/>
          </w:tcPr>
          <w:p w:rsidR="00A46866" w:rsidRDefault="00F51091">
            <w:pPr>
              <w:jc w:val="right"/>
            </w:pPr>
            <w:r>
              <w:t>18.985.000</w:t>
            </w:r>
          </w:p>
        </w:tc>
        <w:tc>
          <w:tcPr>
            <w:tcW w:w="510" w:type="dxa"/>
            <w:vAlign w:val="top"/>
          </w:tcPr>
          <w:p w:rsidR="00A46866" w:rsidRDefault="00F51091">
            <w:pPr>
              <w:jc w:val="right"/>
            </w:pPr>
            <w:r>
              <w:t>89,1</w:t>
            </w:r>
          </w:p>
        </w:tc>
      </w:tr>
    </w:tbl>
    <w:p w:rsidR="00A46866" w:rsidRDefault="00A46866">
      <w:pPr>
        <w:jc w:val="left"/>
      </w:pPr>
    </w:p>
    <w:p w:rsidR="00A46866" w:rsidRDefault="00F51091">
      <w:r>
        <w:t xml:space="preserve">Kroz ovu aktivnost prate se troškovi pojačanog angažmana policijskih službenika koji se odnose na migrantsku krizu jer je sve veći broj migranata koji nezakonito prelaze državnu granicu. </w:t>
      </w:r>
    </w:p>
    <w:p w:rsidR="00A46866" w:rsidRDefault="00F51091">
      <w:r>
        <w:t>Planirana sredstva za razdoblje 2024.g.-2026.g., godišnje su planirana za redovan i prekovremeni rad u iznosu od 4.972.000 eur/26,57% za 2024. te po 5.972.000 eur/31,46% za 2025.g. i za 2026.g., za naknade za rad na terenu i dnevnice 4.442.000 /23,74% u 2024. te po 4.512.000 eur/23,77% u 2025.g. i 2026.g., za troškove prehrane i smještaja angažiranih policijskih službenika planirano je od 4.379.000 eur /23,40% u 2024.g. te po 3.848.000 eur /20,27% za 2025. i 2026.g., za troškove goriva prijevoznih sredstava (vozila i plovila) 1.858.0000 eur u sve tri godine/9,93% u 2024. i 9,79% u 2025. i 2026.g., za ostale troškove – usluge održavanja i servisi angažiranih vozila, nabava auto guma, rezervnih dijelova, registracija, osiguranje i dr. materijalne rashode, planirano je 2.994.000 eur/16,00% za 2024. odnosno od po 2.729.000 eur/14,37% za 2025. i 2026.g.</w:t>
      </w:r>
    </w:p>
    <w:p w:rsidR="00A46866" w:rsidRDefault="00F51091">
      <w:pPr>
        <w:pStyle w:val="Naslov4"/>
      </w:pPr>
      <w:r>
        <w:t>A879016 ODRŽAVANJE I OPREMANJE ZRAKOPLOVNIH SNAGA</w:t>
      </w:r>
    </w:p>
    <w:p w:rsidR="00A46866" w:rsidRDefault="00F51091">
      <w:pPr>
        <w:pStyle w:val="Naslov8"/>
        <w:jc w:val="left"/>
      </w:pPr>
      <w:r>
        <w:t>Zakonske i druge pravne osnove</w:t>
      </w:r>
    </w:p>
    <w:p w:rsidR="00A46866" w:rsidRDefault="00F51091">
      <w:r>
        <w:t>Uredba o unutarnjem ustrojstvu MUP-a, Zakon o policiji - čl. 121.</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lastRenderedPageBreak/>
              <w:t>A879016</w:t>
            </w:r>
          </w:p>
        </w:tc>
        <w:tc>
          <w:tcPr>
            <w:tcW w:w="1632" w:type="dxa"/>
            <w:vAlign w:val="top"/>
          </w:tcPr>
          <w:p w:rsidR="00A46866" w:rsidRDefault="00F51091">
            <w:pPr>
              <w:jc w:val="right"/>
            </w:pPr>
            <w:r>
              <w:t>3.912.298</w:t>
            </w:r>
          </w:p>
        </w:tc>
        <w:tc>
          <w:tcPr>
            <w:tcW w:w="1632" w:type="dxa"/>
            <w:vAlign w:val="top"/>
          </w:tcPr>
          <w:p w:rsidR="00A46866" w:rsidRDefault="00F51091">
            <w:pPr>
              <w:jc w:val="right"/>
            </w:pPr>
            <w:r>
              <w:t>3.308.000</w:t>
            </w:r>
          </w:p>
        </w:tc>
        <w:tc>
          <w:tcPr>
            <w:tcW w:w="1632" w:type="dxa"/>
            <w:vAlign w:val="top"/>
          </w:tcPr>
          <w:p w:rsidR="00A46866" w:rsidRDefault="00F51091">
            <w:pPr>
              <w:jc w:val="right"/>
            </w:pPr>
            <w:r>
              <w:t>3.308.000</w:t>
            </w:r>
          </w:p>
        </w:tc>
        <w:tc>
          <w:tcPr>
            <w:tcW w:w="1632" w:type="dxa"/>
            <w:vAlign w:val="top"/>
          </w:tcPr>
          <w:p w:rsidR="00A46866" w:rsidRDefault="00F51091">
            <w:pPr>
              <w:jc w:val="right"/>
            </w:pPr>
            <w:r>
              <w:t>2.928.000</w:t>
            </w:r>
          </w:p>
        </w:tc>
        <w:tc>
          <w:tcPr>
            <w:tcW w:w="1632" w:type="dxa"/>
            <w:vAlign w:val="top"/>
          </w:tcPr>
          <w:p w:rsidR="00A46866" w:rsidRDefault="00F51091">
            <w:pPr>
              <w:jc w:val="right"/>
            </w:pPr>
            <w:r>
              <w:t>8.746.000</w:t>
            </w:r>
          </w:p>
        </w:tc>
        <w:tc>
          <w:tcPr>
            <w:tcW w:w="510" w:type="dxa"/>
            <w:vAlign w:val="top"/>
          </w:tcPr>
          <w:p w:rsidR="00A46866" w:rsidRDefault="00F51091">
            <w:pPr>
              <w:jc w:val="right"/>
            </w:pPr>
            <w:r>
              <w:t>100,0</w:t>
            </w:r>
          </w:p>
        </w:tc>
      </w:tr>
    </w:tbl>
    <w:p w:rsidR="00A46866" w:rsidRDefault="00A46866">
      <w:pPr>
        <w:jc w:val="left"/>
      </w:pPr>
    </w:p>
    <w:p w:rsidR="00A46866" w:rsidRDefault="00F51091">
      <w:r>
        <w:t xml:space="preserve">Kroz ovu aktivnost financiraju se troškovi vezani uz redovno funkcioniranje Zrakoplovne jedinice, koja izvršava </w:t>
      </w:r>
    </w:p>
    <w:p w:rsidR="00A46866" w:rsidRDefault="00F51091">
      <w:r>
        <w:t xml:space="preserve">zadaće ne samo Specijalne policije gdje ista ustrojstveno i pripada, nego i za izvršavanje zadaća za sve rodove </w:t>
      </w:r>
    </w:p>
    <w:p w:rsidR="00A46866" w:rsidRDefault="00F51091">
      <w:r>
        <w:t xml:space="preserve">policije - specijalna, kriminalistička, granična i pomorska. Zrakoplovna jedinica specijalne policije ima flotu od 8 </w:t>
      </w:r>
    </w:p>
    <w:p w:rsidR="00A46866" w:rsidRDefault="00F51091">
      <w:r>
        <w:t xml:space="preserve">helikoptera te su svi registrirani pri Hrvatskoj agenciji za civilno zrakoplovstvo i podliježu civilnim zrakoplovnim </w:t>
      </w:r>
    </w:p>
    <w:p w:rsidR="00A46866" w:rsidRDefault="00F51091">
      <w:r>
        <w:t xml:space="preserve">propisima, a samim time se i sva održavanja i letenja izvode u skladu sa regulativom EU. Također preme EU </w:t>
      </w:r>
    </w:p>
    <w:p w:rsidR="00A46866" w:rsidRDefault="00F51091">
      <w:r>
        <w:t xml:space="preserve">regulativi, helikopteri i komponente podliježu modernizaciji (nadogradnji), a osoblje zrakoplovne jedinice mora </w:t>
      </w:r>
    </w:p>
    <w:p w:rsidR="00A46866" w:rsidRDefault="00F51091">
      <w:r>
        <w:t xml:space="preserve">posjedovati važeće dozvole (licence) te se iste stječu ili produžuju u ovlaštenim centrima EU i Amerike. Radi se o </w:t>
      </w:r>
    </w:p>
    <w:p w:rsidR="00A46866" w:rsidRDefault="00F51091">
      <w:r>
        <w:t>skupim i zahtjevnim školovanjma, ali ista su neophodna za rad Zrakoplovne jedinice. Za 2024.g. planirana su sredstava za održavanje, nabavu rezervnih dijelova te modernizaciju (nadogradnju) u iznosu od 1.524.000 eur / 46,1%, za školovanje pilota i potrebnu publikaciju u iznosu od 661.000 eur / 20%, za premije osiguranja helikoptera u iznosu od 831.000 eur / 25,1% te za gorivo za helikoptere u iznosu od 226.000 eur / 6,8%. Za 2025.g. planirana su sredstava za održavanje, nabavu rezervnih dijelova te modernizaciju (nadogradnju) u iznosu od 1.479.000 eur / 50,5%, za školovanje pilota i potrebnu publikaciju u iznosu od 626.000 eur / 21,4%, za premije osiguranja helikoptera u iznosu od 531.000 eur / 18,1% te za gorivo za helikoptere u iznosu od 226.000 eur / 7,7%. Za 2026.g. sredstva su planirana za održavanje, nabavu rezervnih dijelova te modernizaciju (nadogradnju) u iznosu od 6.397.000 eur / 73,1%, za školovanje pilota i potrebnu publikaciju u iznosu od 1.526.000 eur/ 17,5%, za premije osiguranja helikoptera u iznosu od 531.000 eur / 6,1% te za gorivo za helikoptere u iznosu od 226.000 eur / 2,6%.</w:t>
      </w:r>
    </w:p>
    <w:p w:rsidR="00A46866" w:rsidRDefault="00F51091">
      <w:pPr>
        <w:pStyle w:val="Naslov4"/>
      </w:pPr>
      <w:r>
        <w:t>K260056 IZGRADNJA, KUPNJA I ODRŽAVANJE ZGRADA</w:t>
      </w:r>
    </w:p>
    <w:p w:rsidR="00A46866" w:rsidRDefault="00F51091">
      <w:pPr>
        <w:pStyle w:val="Naslov8"/>
        <w:jc w:val="left"/>
      </w:pPr>
      <w:r>
        <w:t>Zakonske i druge pravne osnove</w:t>
      </w:r>
    </w:p>
    <w:p w:rsidR="00A46866" w:rsidRDefault="00F51091">
      <w:r>
        <w:t>Zakon o policiji - čl. 121.</w:t>
      </w:r>
    </w:p>
    <w:tbl>
      <w:tblPr>
        <w:tblStyle w:val="StilTablice"/>
        <w:tblW w:w="10206" w:type="dxa"/>
        <w:jc w:val="center"/>
        <w:tblLook w:val="04A0" w:firstRow="1" w:lastRow="0" w:firstColumn="1" w:lastColumn="0" w:noHBand="0" w:noVBand="1"/>
      </w:tblPr>
      <w:tblGrid>
        <w:gridCol w:w="1456"/>
        <w:gridCol w:w="1548"/>
        <w:gridCol w:w="1558"/>
        <w:gridCol w:w="1558"/>
        <w:gridCol w:w="1558"/>
        <w:gridCol w:w="1558"/>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K260056</w:t>
            </w:r>
          </w:p>
        </w:tc>
        <w:tc>
          <w:tcPr>
            <w:tcW w:w="1632" w:type="dxa"/>
            <w:vAlign w:val="top"/>
          </w:tcPr>
          <w:p w:rsidR="00A46866" w:rsidRDefault="00F51091">
            <w:pPr>
              <w:jc w:val="right"/>
            </w:pPr>
            <w:r>
              <w:t>4.141.225</w:t>
            </w:r>
          </w:p>
        </w:tc>
        <w:tc>
          <w:tcPr>
            <w:tcW w:w="1632" w:type="dxa"/>
            <w:vAlign w:val="top"/>
          </w:tcPr>
          <w:p w:rsidR="00A46866" w:rsidRDefault="00F51091">
            <w:pPr>
              <w:jc w:val="right"/>
            </w:pPr>
            <w:r>
              <w:t>13.883.000</w:t>
            </w:r>
          </w:p>
        </w:tc>
        <w:tc>
          <w:tcPr>
            <w:tcW w:w="1632" w:type="dxa"/>
            <w:vAlign w:val="top"/>
          </w:tcPr>
          <w:p w:rsidR="00A46866" w:rsidRDefault="00F51091">
            <w:pPr>
              <w:jc w:val="right"/>
            </w:pPr>
            <w:r>
              <w:t>15.090.000</w:t>
            </w:r>
          </w:p>
        </w:tc>
        <w:tc>
          <w:tcPr>
            <w:tcW w:w="1632" w:type="dxa"/>
            <w:vAlign w:val="top"/>
          </w:tcPr>
          <w:p w:rsidR="00A46866" w:rsidRDefault="00F51091">
            <w:pPr>
              <w:jc w:val="right"/>
            </w:pPr>
            <w:r>
              <w:t>16.550.000</w:t>
            </w:r>
          </w:p>
        </w:tc>
        <w:tc>
          <w:tcPr>
            <w:tcW w:w="1632" w:type="dxa"/>
            <w:vAlign w:val="top"/>
          </w:tcPr>
          <w:p w:rsidR="00A46866" w:rsidRDefault="00F51091">
            <w:pPr>
              <w:jc w:val="right"/>
            </w:pPr>
            <w:r>
              <w:t>12.930.000</w:t>
            </w:r>
          </w:p>
        </w:tc>
        <w:tc>
          <w:tcPr>
            <w:tcW w:w="510" w:type="dxa"/>
            <w:vAlign w:val="top"/>
          </w:tcPr>
          <w:p w:rsidR="00A46866" w:rsidRDefault="00F51091">
            <w:pPr>
              <w:jc w:val="right"/>
            </w:pPr>
            <w:r>
              <w:t>108,7</w:t>
            </w:r>
          </w:p>
        </w:tc>
      </w:tr>
    </w:tbl>
    <w:p w:rsidR="00A46866" w:rsidRDefault="00A46866">
      <w:pPr>
        <w:jc w:val="left"/>
      </w:pPr>
    </w:p>
    <w:p w:rsidR="00A46866" w:rsidRDefault="00F51091">
      <w:r>
        <w:t>Kroz predmetni projekt financira se tekuće i investicijsko održavanje objekata, izgradnja novih objekata, opremanje objekata namještajem te dodatna ulaganja na postojećim objektima. Za usluge tekućeg i investicijskog održavanja građevinskih objekata planirano je od po 2.000.000 eur što je 13,3% u 2024. g., 12,1% u 2025. i 15,5% u 2026.g. U 2024.g. za izgradnju poslovnih objekata planirano je 2.000. 0000 eur / 13,3%, a isto se odnosi na rekonstrukciju zgrade Policijske postaje Gruž te izradnju i stručni nadzor nove investicije u PP Novalja. U 2025. i 2026.g. planirano je za istu namjenu od po 1.327.000 eur što iznosi  za 2025.g. 8%  te za 2026. g. 10,3% . Za opremanje objekata uredskim namještajem planirano je u 2024.g.  850.000 eur / 5,6%. te po 550.000 eur / 3,3% za 2025. i 4,3% za 2026.g. Za dodatna ulaganja na građevinskim objektima planirano je u 2024.g. 10.240.000 eur / 67,9 % za nužne sanacije postojećih objekata (sanacije krovišta, obnova grijanja, uređenje interijera i sl.), u 2025.g. planirano je 12.673.000 eur / 76,6% te je u 2026. planirano 9.053.000  eur / 70%. Na ovoj skupini rashoda planirana su i dodatna ulaganja za energetsku obnovu zgrada koja se financiraju iz Europskog fonda za regionalni razvoj (EFRR) i to u 2024.g. 2.240.000 eur, u 2025.g. 7.240.000 eur te u 2026.g. 3.620.000 eur (sufinanciranje je planirano u okviru izvora opći prihodi i primici).</w:t>
      </w:r>
    </w:p>
    <w:p w:rsidR="00A46866" w:rsidRDefault="00F51091">
      <w:pPr>
        <w:pStyle w:val="Naslov4"/>
      </w:pPr>
      <w:r>
        <w:t>K553009 POLICIJSKA OPREMA</w:t>
      </w:r>
    </w:p>
    <w:p w:rsidR="00A46866" w:rsidRDefault="00F51091">
      <w:pPr>
        <w:pStyle w:val="Naslov8"/>
        <w:jc w:val="left"/>
      </w:pPr>
      <w:r>
        <w:t>Zakonske i druge pravne osnove</w:t>
      </w:r>
    </w:p>
    <w:p w:rsidR="00A46866" w:rsidRDefault="00F51091">
      <w:r>
        <w:t xml:space="preserve">Zakon o policiji - čl.28., čl.121, Zakon o policijskim poslovima i ovlastima - čl.16, čl.21., Uredba o izgledu odora </w:t>
      </w:r>
    </w:p>
    <w:p w:rsidR="00A46866" w:rsidRDefault="00F51091">
      <w:r>
        <w:t xml:space="preserve">policijskih službenika Ministarstva unutarnjih poslova - čl. 16., Uredba o vrstama naoružanja i opreme policijskih </w:t>
      </w:r>
    </w:p>
    <w:p w:rsidR="00A46866" w:rsidRDefault="00F51091">
      <w:r>
        <w:t>službenika, Pravilnik o načinu i uvjetima za ostvarivanje prava policijskih službenika na građansko odijelo - čl. 21.</w:t>
      </w:r>
    </w:p>
    <w:tbl>
      <w:tblPr>
        <w:tblStyle w:val="StilTablice"/>
        <w:tblW w:w="10206" w:type="dxa"/>
        <w:jc w:val="center"/>
        <w:tblLook w:val="04A0" w:firstRow="1" w:lastRow="0" w:firstColumn="1" w:lastColumn="0" w:noHBand="0" w:noVBand="1"/>
      </w:tblPr>
      <w:tblGrid>
        <w:gridCol w:w="1452"/>
        <w:gridCol w:w="1556"/>
        <w:gridCol w:w="1557"/>
        <w:gridCol w:w="1557"/>
        <w:gridCol w:w="1557"/>
        <w:gridCol w:w="1557"/>
        <w:gridCol w:w="970"/>
      </w:tblGrid>
      <w:tr w:rsidR="00A46866">
        <w:trPr>
          <w:jc w:val="center"/>
        </w:trPr>
        <w:tc>
          <w:tcPr>
            <w:tcW w:w="1530" w:type="dxa"/>
            <w:shd w:val="clear" w:color="auto" w:fill="B5C0D8"/>
          </w:tcPr>
          <w:p w:rsidR="00A46866" w:rsidRDefault="00F51091">
            <w:pPr>
              <w:pStyle w:val="CellHeader"/>
              <w:jc w:val="center"/>
            </w:pPr>
            <w:r>
              <w:rPr>
                <w:rFonts w:cs="Times New Roman"/>
              </w:rPr>
              <w:lastRenderedPageBreak/>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K553009</w:t>
            </w:r>
          </w:p>
        </w:tc>
        <w:tc>
          <w:tcPr>
            <w:tcW w:w="1632" w:type="dxa"/>
            <w:vAlign w:val="top"/>
          </w:tcPr>
          <w:p w:rsidR="00A46866" w:rsidRDefault="00F51091">
            <w:pPr>
              <w:jc w:val="right"/>
            </w:pPr>
            <w:r>
              <w:t>18.889.630</w:t>
            </w:r>
          </w:p>
        </w:tc>
        <w:tc>
          <w:tcPr>
            <w:tcW w:w="1632" w:type="dxa"/>
            <w:vAlign w:val="top"/>
          </w:tcPr>
          <w:p w:rsidR="00A46866" w:rsidRDefault="00F51091">
            <w:pPr>
              <w:jc w:val="right"/>
            </w:pPr>
            <w:r>
              <w:t>21.384.000</w:t>
            </w:r>
          </w:p>
        </w:tc>
        <w:tc>
          <w:tcPr>
            <w:tcW w:w="1632" w:type="dxa"/>
            <w:vAlign w:val="top"/>
          </w:tcPr>
          <w:p w:rsidR="00A46866" w:rsidRDefault="00F51091">
            <w:pPr>
              <w:jc w:val="right"/>
            </w:pPr>
            <w:r>
              <w:t>22.048.000</w:t>
            </w:r>
          </w:p>
        </w:tc>
        <w:tc>
          <w:tcPr>
            <w:tcW w:w="1632" w:type="dxa"/>
            <w:vAlign w:val="top"/>
          </w:tcPr>
          <w:p w:rsidR="00A46866" w:rsidRDefault="00F51091">
            <w:pPr>
              <w:jc w:val="right"/>
            </w:pPr>
            <w:r>
              <w:t>19.158.000</w:t>
            </w:r>
          </w:p>
        </w:tc>
        <w:tc>
          <w:tcPr>
            <w:tcW w:w="1632" w:type="dxa"/>
            <w:vAlign w:val="top"/>
          </w:tcPr>
          <w:p w:rsidR="00A46866" w:rsidRDefault="00F51091">
            <w:pPr>
              <w:jc w:val="right"/>
            </w:pPr>
            <w:r>
              <w:t>21.348.000</w:t>
            </w:r>
          </w:p>
        </w:tc>
        <w:tc>
          <w:tcPr>
            <w:tcW w:w="510" w:type="dxa"/>
            <w:vAlign w:val="top"/>
          </w:tcPr>
          <w:p w:rsidR="00A46866" w:rsidRDefault="00F51091">
            <w:pPr>
              <w:jc w:val="right"/>
            </w:pPr>
            <w:r>
              <w:t>103,1</w:t>
            </w:r>
          </w:p>
        </w:tc>
      </w:tr>
    </w:tbl>
    <w:p w:rsidR="00A46866" w:rsidRDefault="00A46866">
      <w:pPr>
        <w:jc w:val="left"/>
      </w:pPr>
    </w:p>
    <w:p w:rsidR="00A46866" w:rsidRDefault="00F51091">
      <w:r>
        <w:t xml:space="preserve">Kroz projekt Policijska oprema planirana su sredstva za zanavljanje odore policijskih službenika te nabavu </w:t>
      </w:r>
    </w:p>
    <w:p w:rsidR="00A46866" w:rsidRDefault="00F51091">
      <w:r>
        <w:t xml:space="preserve">građanskih odijela za one policijske službenike za koje je propisano da policijske poslove obavljaju isključivo u </w:t>
      </w:r>
    </w:p>
    <w:p w:rsidR="00A46866" w:rsidRDefault="00F51091">
      <w:r>
        <w:t xml:space="preserve">građanskom odijelu  i za HTZ 14.000.000 eur / 63,50% u 2024.g., zatim 12.500.000 eur / 65,25% u 2025.g., te 14.000.000 eur / 65,6% u 2026.g. Za najam 3.000 kom balističkih prsluka ugovorenih putem operativnog leasinga na rok od 10 godina planirano je godišnje 796.000 eur / 3,6% u 2024.g., 796.000 eur / 4,2% u 2025.g. i 796.000 eur / 3,7% u </w:t>
      </w:r>
    </w:p>
    <w:p w:rsidR="00A46866" w:rsidRDefault="00F51091">
      <w:r>
        <w:t xml:space="preserve">2026.g. Za nabavu streljiva i kemijskih sredstava te neophodnog potrošnog materijala, rezervnih dijelova za </w:t>
      </w:r>
    </w:p>
    <w:p w:rsidR="00A46866" w:rsidRDefault="00F51091">
      <w:r>
        <w:t xml:space="preserve">naoružanje, papar sprejeva, sredstava za vezivanje, svjetiljki, transportnih torbi, zaštitinih naočala i antifiona </w:t>
      </w:r>
    </w:p>
    <w:p w:rsidR="00A46866" w:rsidRDefault="00F51091">
      <w:r>
        <w:t xml:space="preserve">planirana su sredstva u iznosu od 1.062.000 eur / 4,8% u 2024.g., 562.000 eur / 2,9 u 2025.g. i 1.062.000 eur / </w:t>
      </w:r>
    </w:p>
    <w:p w:rsidR="00A46866" w:rsidRDefault="00F51091">
      <w:r>
        <w:t xml:space="preserve">5,0% u 2026.g. Za operativne troškove policije planirana su sredstva u iznosu od po 398.000 eur za cijelo razdoblje, što iznosi 1,8% u 2024.g., 2,1% u 2025.g. i  1,9% u 2026.g. Za tehničko opremanje policije planirana su sredstva </w:t>
      </w:r>
    </w:p>
    <w:p w:rsidR="00A46866" w:rsidRDefault="00F51091">
      <w:r>
        <w:t xml:space="preserve">na godišnjoj razini od 4.023.000 eur / 18,3% u 2024.g., 3.223.000 eur / 16,8% u 2025.g. te 3.323.000 eur / 15,6% u </w:t>
      </w:r>
    </w:p>
    <w:p w:rsidR="00A46866" w:rsidRDefault="00F51091">
      <w:r>
        <w:t xml:space="preserve">2026.g. i to najvećim dijelom za nabavu naoružanja, specijalne policijske opreme, uređaja za održavanje te nabavu </w:t>
      </w:r>
    </w:p>
    <w:p w:rsidR="00A46866" w:rsidRDefault="00F51091">
      <w:r>
        <w:t xml:space="preserve">službenih pasa. Također za zanavljanje voznog parka kupnjom te putem financijskog leasinga planirano je </w:t>
      </w:r>
    </w:p>
    <w:p w:rsidR="00A46866" w:rsidRDefault="00F51091">
      <w:r>
        <w:t>1.460.000 eur za cijelo razdoblje, što iznosi 6,6% u 2024.g., 7,6% u 2025.g. i 6,8% u 2026.g.</w:t>
      </w:r>
    </w:p>
    <w:p w:rsidR="00A46866" w:rsidRDefault="00F51091">
      <w:pPr>
        <w:pStyle w:val="Naslov4"/>
      </w:pPr>
      <w:r>
        <w:t>K553026 IZGRADNJA KAPACITETA U PODRUČJU AZILA VIZNOG SUSTAVA I ILEGALNIH MIGRACIJA</w:t>
      </w:r>
    </w:p>
    <w:p w:rsidR="00A46866" w:rsidRDefault="00F51091">
      <w:pPr>
        <w:pStyle w:val="Naslov8"/>
        <w:jc w:val="left"/>
      </w:pPr>
      <w:r>
        <w:t>Zakonske i druge pravne osnove</w:t>
      </w:r>
    </w:p>
    <w:p w:rsidR="00A46866" w:rsidRDefault="00F51091">
      <w:r>
        <w:t xml:space="preserve">Zakon o međunarodnoj i privremenoj zaštiti - čl. 14. prevođenje, čl. 55. novčana naknada, Pravilnik o ostvarivanju </w:t>
      </w:r>
    </w:p>
    <w:p w:rsidR="00A46866" w:rsidRDefault="00F51091">
      <w:r>
        <w:t>materijalnih uvjeta prihvata, Odluka o visini novčane pomoći tražiteljima međunarodne zaštite – točka II.</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K553026</w:t>
            </w:r>
          </w:p>
        </w:tc>
        <w:tc>
          <w:tcPr>
            <w:tcW w:w="1632" w:type="dxa"/>
            <w:vAlign w:val="top"/>
          </w:tcPr>
          <w:p w:rsidR="00A46866" w:rsidRDefault="00F51091">
            <w:pPr>
              <w:jc w:val="right"/>
            </w:pPr>
            <w:r>
              <w:t>1.879.217</w:t>
            </w:r>
          </w:p>
        </w:tc>
        <w:tc>
          <w:tcPr>
            <w:tcW w:w="1632" w:type="dxa"/>
            <w:vAlign w:val="top"/>
          </w:tcPr>
          <w:p w:rsidR="00A46866" w:rsidRDefault="00F51091">
            <w:pPr>
              <w:jc w:val="right"/>
            </w:pPr>
            <w:r>
              <w:t>3.301.000</w:t>
            </w:r>
          </w:p>
        </w:tc>
        <w:tc>
          <w:tcPr>
            <w:tcW w:w="1632" w:type="dxa"/>
            <w:vAlign w:val="top"/>
          </w:tcPr>
          <w:p w:rsidR="00A46866" w:rsidRDefault="00F51091">
            <w:pPr>
              <w:jc w:val="right"/>
            </w:pPr>
            <w:r>
              <w:t>3.301.000</w:t>
            </w:r>
          </w:p>
        </w:tc>
        <w:tc>
          <w:tcPr>
            <w:tcW w:w="1632" w:type="dxa"/>
            <w:vAlign w:val="top"/>
          </w:tcPr>
          <w:p w:rsidR="00A46866" w:rsidRDefault="00F51091">
            <w:pPr>
              <w:jc w:val="right"/>
            </w:pPr>
            <w:r>
              <w:t>2.503.000</w:t>
            </w:r>
          </w:p>
        </w:tc>
        <w:tc>
          <w:tcPr>
            <w:tcW w:w="1632" w:type="dxa"/>
            <w:vAlign w:val="top"/>
          </w:tcPr>
          <w:p w:rsidR="00A46866" w:rsidRDefault="00F51091">
            <w:pPr>
              <w:jc w:val="right"/>
            </w:pPr>
            <w:r>
              <w:t>2.503.000</w:t>
            </w:r>
          </w:p>
        </w:tc>
        <w:tc>
          <w:tcPr>
            <w:tcW w:w="510" w:type="dxa"/>
            <w:vAlign w:val="top"/>
          </w:tcPr>
          <w:p w:rsidR="00A46866" w:rsidRDefault="00F51091">
            <w:pPr>
              <w:jc w:val="right"/>
            </w:pPr>
            <w:r>
              <w:t>100,0</w:t>
            </w:r>
          </w:p>
        </w:tc>
      </w:tr>
    </w:tbl>
    <w:p w:rsidR="00A46866" w:rsidRDefault="00A46866">
      <w:pPr>
        <w:jc w:val="left"/>
      </w:pPr>
    </w:p>
    <w:p w:rsidR="00A46866" w:rsidRDefault="00F51091">
      <w:r>
        <w:t>Kroz navedeni projekt planirana su sredstva najvećim dijelom za usluge prehrane migranata i za zaštitarske usluge objekata Prihvatilišta u iznosu od 3.048.000 eur /92,3% za 2024.g. i od po 2.200.000 eur / 87,9% za 2025. i 2026.g. Za isplate po ugovorima o djelu, usluge prijevoda te za odvjetničke usluge planiran je iznos od 200.000 eur / 6,1% za 2024.g., te od po 250.000 eur / 10% za 2025. i 2026.g. Za isplatu mjesečne novčane naknade tražiteljima međunarodne zaštite u iznosu od 53.000 eur za cijelo razdoblje, a što iznosi  1,6% za 2024.g. te 2,1% za 2025. i 2026.g.</w:t>
      </w:r>
    </w:p>
    <w:p w:rsidR="00A46866" w:rsidRDefault="00F51091">
      <w:pPr>
        <w:pStyle w:val="Naslov4"/>
      </w:pPr>
      <w:r>
        <w:t>K553092 NACIONALNI PROGRAM SIGURNOSTI CESTOVNOG PROMETA</w:t>
      </w:r>
    </w:p>
    <w:p w:rsidR="00A46866" w:rsidRDefault="00F51091">
      <w:pPr>
        <w:pStyle w:val="Naslov8"/>
        <w:jc w:val="left"/>
      </w:pPr>
      <w:r>
        <w:t>Zakonske i druge pravne osnove</w:t>
      </w:r>
    </w:p>
    <w:p w:rsidR="00A46866" w:rsidRDefault="00F51091">
      <w:r>
        <w:t>Nacionalni plan sigurnosti cestovnog prometa Republike Hrvatske za razdoblje od 2021. do 2030., točka 9 .</w:t>
      </w:r>
    </w:p>
    <w:tbl>
      <w:tblPr>
        <w:tblStyle w:val="StilTablice"/>
        <w:tblW w:w="10206" w:type="dxa"/>
        <w:jc w:val="center"/>
        <w:tblLook w:val="04A0" w:firstRow="1" w:lastRow="0" w:firstColumn="1" w:lastColumn="0" w:noHBand="0" w:noVBand="1"/>
      </w:tblPr>
      <w:tblGrid>
        <w:gridCol w:w="1459"/>
        <w:gridCol w:w="1562"/>
        <w:gridCol w:w="1562"/>
        <w:gridCol w:w="1551"/>
        <w:gridCol w:w="1551"/>
        <w:gridCol w:w="1551"/>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K553092</w:t>
            </w:r>
          </w:p>
        </w:tc>
        <w:tc>
          <w:tcPr>
            <w:tcW w:w="1632" w:type="dxa"/>
            <w:vAlign w:val="top"/>
          </w:tcPr>
          <w:p w:rsidR="00A46866" w:rsidRDefault="00F51091">
            <w:pPr>
              <w:jc w:val="right"/>
            </w:pPr>
            <w:r>
              <w:t>10.990.040</w:t>
            </w:r>
          </w:p>
        </w:tc>
        <w:tc>
          <w:tcPr>
            <w:tcW w:w="1632" w:type="dxa"/>
            <w:vAlign w:val="top"/>
          </w:tcPr>
          <w:p w:rsidR="00A46866" w:rsidRDefault="00F51091">
            <w:pPr>
              <w:jc w:val="right"/>
            </w:pPr>
            <w:r>
              <w:t>12.070.000</w:t>
            </w:r>
          </w:p>
        </w:tc>
        <w:tc>
          <w:tcPr>
            <w:tcW w:w="1632" w:type="dxa"/>
            <w:vAlign w:val="top"/>
          </w:tcPr>
          <w:p w:rsidR="00A46866" w:rsidRDefault="00F51091">
            <w:pPr>
              <w:jc w:val="right"/>
            </w:pPr>
            <w:r>
              <w:t>9.570.000</w:t>
            </w:r>
          </w:p>
        </w:tc>
        <w:tc>
          <w:tcPr>
            <w:tcW w:w="1632" w:type="dxa"/>
            <w:vAlign w:val="top"/>
          </w:tcPr>
          <w:p w:rsidR="00A46866" w:rsidRDefault="00F51091">
            <w:pPr>
              <w:jc w:val="right"/>
            </w:pPr>
            <w:r>
              <w:t>9.570.000</w:t>
            </w:r>
          </w:p>
        </w:tc>
        <w:tc>
          <w:tcPr>
            <w:tcW w:w="1632" w:type="dxa"/>
            <w:vAlign w:val="top"/>
          </w:tcPr>
          <w:p w:rsidR="00A46866" w:rsidRDefault="00F51091">
            <w:pPr>
              <w:jc w:val="right"/>
            </w:pPr>
            <w:r>
              <w:t>9.570.000</w:t>
            </w:r>
          </w:p>
        </w:tc>
        <w:tc>
          <w:tcPr>
            <w:tcW w:w="510" w:type="dxa"/>
            <w:vAlign w:val="top"/>
          </w:tcPr>
          <w:p w:rsidR="00A46866" w:rsidRDefault="00F51091">
            <w:pPr>
              <w:jc w:val="right"/>
            </w:pPr>
            <w:r>
              <w:t>79,3</w:t>
            </w:r>
          </w:p>
        </w:tc>
      </w:tr>
    </w:tbl>
    <w:p w:rsidR="00A46866" w:rsidRDefault="00A46866">
      <w:pPr>
        <w:jc w:val="left"/>
      </w:pPr>
    </w:p>
    <w:p w:rsidR="00A46866" w:rsidRDefault="00F51091">
      <w:r>
        <w:t xml:space="preserve">Nacionalni plan sigurnosti cestovnog prometa predstavlja strateški dokument Republike Hrvatske, kojemu je cilj </w:t>
      </w:r>
    </w:p>
    <w:p w:rsidR="00A46866" w:rsidRDefault="00F51091">
      <w:r>
        <w:lastRenderedPageBreak/>
        <w:t xml:space="preserve">podizanje razine sigurnosti cestovnog prometa do 2030. Za njegovo provođenje zadužena je Radna skupina </w:t>
      </w:r>
    </w:p>
    <w:p w:rsidR="00A46866" w:rsidRDefault="00F51091">
      <w:r>
        <w:t xml:space="preserve">određena od strane ministra nadležnog za unutarnje poslove. Financiranje ili sufinanciranje provođenja mjera i </w:t>
      </w:r>
    </w:p>
    <w:p w:rsidR="00A46866" w:rsidRDefault="00F51091">
      <w:r>
        <w:t xml:space="preserve">aktivnosti predviđeno je iz više izvora. O prioritetima i načinu financiranja utvrđenih mjera i aktivnosti odluku </w:t>
      </w:r>
    </w:p>
    <w:p w:rsidR="00A46866" w:rsidRDefault="00F51091">
      <w:r>
        <w:t xml:space="preserve">donosi Radna skupina zadužena za njegovu provedbu. Svrha aktivnosti Nacionalnog plana sigurnosti cestovnog </w:t>
      </w:r>
    </w:p>
    <w:p w:rsidR="00A46866" w:rsidRDefault="00F51091">
      <w:r>
        <w:t xml:space="preserve">prometa je pokušaj djelovanja na svijest vozača i ostalih sudionika u prometu kako bi promjenom svog ponašanja i </w:t>
      </w:r>
    </w:p>
    <w:p w:rsidR="00A46866" w:rsidRDefault="00F51091">
      <w:r>
        <w:t xml:space="preserve">poštivanjem prometnih propisa direktno pozitivno utjecali na poboljšanje stanja prometne sigurnosti. NPSCP-a </w:t>
      </w:r>
    </w:p>
    <w:p w:rsidR="00A46866" w:rsidRDefault="00F51091">
      <w:r>
        <w:t xml:space="preserve">provodi se u cilju smanjenja broja prometnih nesreća i njihovih štetnih posljedica financiranjem preventivnih </w:t>
      </w:r>
    </w:p>
    <w:p w:rsidR="00A46866" w:rsidRDefault="00F51091">
      <w:r>
        <w:t xml:space="preserve">aktivnosti i nabave uređaja i opreme koju policija koristi u nadzoru i upravljanju prometom na cestama. Nacionalni </w:t>
      </w:r>
    </w:p>
    <w:p w:rsidR="00A46866" w:rsidRDefault="00F51091">
      <w:r>
        <w:t xml:space="preserve">plan sigurnosti cestovnog prometa za razdoblje od 2021. do 2030. usklađen je s principima pristupa temeljenog na </w:t>
      </w:r>
    </w:p>
    <w:p w:rsidR="00A46866" w:rsidRDefault="00F51091">
      <w:r>
        <w:t xml:space="preserve">sigurnosti sustava te se oslanja na što jasnije razumijevanje čimbenika koji utječu na sigurnost svih sudionika u </w:t>
      </w:r>
    </w:p>
    <w:p w:rsidR="00A46866" w:rsidRDefault="00F51091">
      <w:r>
        <w:t xml:space="preserve">prometu. Sredstva za provedbu Nacionalnog plana sigurnosti planirana su za preventivno promidžbene aktivnosti koje se provode putem elektronskih medija – radio i TV spotova, izradom promidžbenog materijala, brošura, kao i </w:t>
      </w:r>
    </w:p>
    <w:p w:rsidR="00A46866" w:rsidRDefault="00F51091">
      <w:r>
        <w:t xml:space="preserve">sufinanciranjem preventivnih projekata udruga u iznosu od po 1.515.000 eur /15,83% kroz cijelo razdoblje. Za sanaciju </w:t>
      </w:r>
    </w:p>
    <w:p w:rsidR="00A46866" w:rsidRDefault="00F51091">
      <w:r>
        <w:t>opasnih mjesta na županijskim, općinskim gradskim cestama planirano je od po 905.000 eur / 9,46%. Za kapitalne prijenose između proračunskih korisnika istog proračuna planirano je 400.000 eur / 4,18% za cijelo razdoblje. Za opremanje prometne policije kao i održavanje opreme (nabava PVC usnika za alkometre, testeri za droge, održavanje uređaja za mjerenje brzine, usluge održavanja presretača, gorivo, auto gume, popunjavanje nesesera za obavljanje očevida, nabava motociklističke opreme, uređaja za mjerenje brzine, nabava informatičke opreme za auto i moto ophodnje, osobni automobili-presretači, motocikli i dr.) planirano je od po 6.563.000 eur / 68,58% za cijelo razdoblje.</w:t>
      </w:r>
    </w:p>
    <w:p w:rsidR="00A46866" w:rsidRDefault="00F51091">
      <w:pPr>
        <w:pStyle w:val="Naslov4"/>
      </w:pPr>
      <w:r>
        <w:t>K553125 POTPORE RADU I OPREMANJU POLICIJE</w:t>
      </w:r>
    </w:p>
    <w:p w:rsidR="00A46866" w:rsidRDefault="00F51091">
      <w:pPr>
        <w:pStyle w:val="Naslov8"/>
        <w:jc w:val="left"/>
      </w:pPr>
      <w:r>
        <w:t>Zakonske i druge pravne osnove</w:t>
      </w:r>
    </w:p>
    <w:p w:rsidR="00A46866" w:rsidRDefault="00F51091">
      <w:r>
        <w:t>Grant Agreement for a Project with multiple beneficiares under the ERASMUS+ Programme, Project Number: 2022-1-EE01-KA220-HED-000089329, Agreement Number - 2022-KA220HED-01, Grant Agreement for a Project Development of Joint Curriculum for First Responders on the Tactical Procedure sin the Use of Force and First Aid, Project Number: 2023-1-HR01-VET-000154168 i Projekt 2023-1-HR01-KA131-HED-000125484 - projekt mobilnosti za studente i osobelj financirani sredstvima za unutarnju politiku.</w:t>
      </w:r>
    </w:p>
    <w:tbl>
      <w:tblPr>
        <w:tblStyle w:val="StilTablice"/>
        <w:tblW w:w="10206" w:type="dxa"/>
        <w:jc w:val="center"/>
        <w:tblLook w:val="04A0" w:firstRow="1" w:lastRow="0" w:firstColumn="1" w:lastColumn="0" w:noHBand="0" w:noVBand="1"/>
      </w:tblPr>
      <w:tblGrid>
        <w:gridCol w:w="1473"/>
        <w:gridCol w:w="1559"/>
        <w:gridCol w:w="1551"/>
        <w:gridCol w:w="1551"/>
        <w:gridCol w:w="1551"/>
        <w:gridCol w:w="1551"/>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K553125</w:t>
            </w:r>
          </w:p>
        </w:tc>
        <w:tc>
          <w:tcPr>
            <w:tcW w:w="1632" w:type="dxa"/>
            <w:vAlign w:val="top"/>
          </w:tcPr>
          <w:p w:rsidR="00A46866" w:rsidRDefault="00F51091">
            <w:pPr>
              <w:jc w:val="right"/>
            </w:pPr>
            <w:r>
              <w:t>174.037</w:t>
            </w:r>
          </w:p>
        </w:tc>
        <w:tc>
          <w:tcPr>
            <w:tcW w:w="1632" w:type="dxa"/>
            <w:vAlign w:val="top"/>
          </w:tcPr>
          <w:p w:rsidR="00A46866" w:rsidRDefault="00F51091">
            <w:pPr>
              <w:jc w:val="right"/>
            </w:pPr>
            <w:r>
              <w:t>104.000</w:t>
            </w:r>
          </w:p>
        </w:tc>
        <w:tc>
          <w:tcPr>
            <w:tcW w:w="1632" w:type="dxa"/>
            <w:vAlign w:val="top"/>
          </w:tcPr>
          <w:p w:rsidR="00A46866" w:rsidRDefault="00F51091">
            <w:pPr>
              <w:jc w:val="right"/>
            </w:pPr>
            <w:r>
              <w:t>166.000</w:t>
            </w:r>
          </w:p>
        </w:tc>
        <w:tc>
          <w:tcPr>
            <w:tcW w:w="1632" w:type="dxa"/>
            <w:vAlign w:val="top"/>
          </w:tcPr>
          <w:p w:rsidR="00A46866" w:rsidRDefault="00F51091">
            <w:pPr>
              <w:jc w:val="right"/>
            </w:pPr>
            <w:r>
              <w:t>166.000</w:t>
            </w:r>
          </w:p>
        </w:tc>
        <w:tc>
          <w:tcPr>
            <w:tcW w:w="1632" w:type="dxa"/>
            <w:vAlign w:val="top"/>
          </w:tcPr>
          <w:p w:rsidR="00A46866" w:rsidRDefault="00F51091">
            <w:pPr>
              <w:jc w:val="right"/>
            </w:pPr>
            <w:r>
              <w:t>166.000</w:t>
            </w:r>
          </w:p>
        </w:tc>
        <w:tc>
          <w:tcPr>
            <w:tcW w:w="510" w:type="dxa"/>
            <w:vAlign w:val="top"/>
          </w:tcPr>
          <w:p w:rsidR="00A46866" w:rsidRDefault="00F51091">
            <w:pPr>
              <w:jc w:val="right"/>
            </w:pPr>
            <w:r>
              <w:t>159,6</w:t>
            </w:r>
          </w:p>
        </w:tc>
      </w:tr>
    </w:tbl>
    <w:p w:rsidR="00A46866" w:rsidRDefault="00A46866">
      <w:pPr>
        <w:jc w:val="left"/>
      </w:pPr>
    </w:p>
    <w:p w:rsidR="00A46866" w:rsidRDefault="00F51091">
      <w:r>
        <w:t xml:space="preserve">Predmetni projekt je planiran na izvoru 51 Pomoći EU u ukupnom iznosu od 70.000 eur za sve tri godine, na izvoru 52 Ostale pomoći u iznosu 129.000 eur i na izvoru 61 Donacije u ukupnom iznosu od 74.000 eur. </w:t>
      </w:r>
    </w:p>
    <w:p w:rsidR="00A46866" w:rsidRDefault="00F51091">
      <w:r>
        <w:t xml:space="preserve">Kroz ovaj projekt provode se razni programi. Za plaće djelatnika koji rade projektima godišnje je planirano 14.000 </w:t>
      </w:r>
    </w:p>
    <w:p w:rsidR="00A46866" w:rsidRDefault="00F51091">
      <w:r>
        <w:t xml:space="preserve">eur, za troškove dnevnica, smještaja, putnih troškova (avio-karata i troškovi goriva za službena vozila) planirano je 14.000 eur, za troškova kotizacija za seminare i tečajeve 1.000 eur, za intelektualne usluge je planirano 5.000 eur </w:t>
      </w:r>
    </w:p>
    <w:p w:rsidR="00A46866" w:rsidRDefault="00F51091">
      <w:r>
        <w:t xml:space="preserve">za usluge promidžbe i informiranja godišnje je planirano 17.000 eur, za nabavu uredske opreme i namještaja </w:t>
      </w:r>
    </w:p>
    <w:p w:rsidR="00A46866" w:rsidRDefault="00F51091">
      <w:r>
        <w:t xml:space="preserve">8.000 eur </w:t>
      </w:r>
    </w:p>
    <w:p w:rsidR="00A46866" w:rsidRDefault="00F51091">
      <w:r>
        <w:t xml:space="preserve">Projekte u sklopu programa ERASMUS+ pratimo i na izvoru 51 Pomoći EU (kad sredstva uplaćuju institucije iz EU) te na izvoru 52 Ostale pomoći (kad nam EU sredstva doznačuje Agencija za mobilnost i programe EU). </w:t>
      </w:r>
    </w:p>
    <w:p w:rsidR="00A46866" w:rsidRDefault="00F51091">
      <w:r>
        <w:t xml:space="preserve">Kroz predmetni projekt pratimo projekt HYBRIDC - "Cooperation for Developing Joint Curriculum on Tackling Hybrid Threats", koji se financira iz Erasmus+ programa. Uz Policijsku akademiju te Estonsku akademiju sigurnosnih znanosti u projektu sudjeluje i Litvansko sveučilište Mykolas Romeris, a cilj projekta je izrada zajedničkog kurikuluma o suočavanju s hibridnim prijetnjama. Trajanje projekta je predviđeno u razdoblju od </w:t>
      </w:r>
      <w:r>
        <w:lastRenderedPageBreak/>
        <w:t xml:space="preserve">01.09.2022. do 31.08.2025. godine kroz tri radna programa. Ukupna vrijednost projekta iznosi 400.000 eur, od čega se iznos od 120.000 eur odnosi na Ministarstvo unutarnjih poslova. </w:t>
      </w:r>
    </w:p>
    <w:p w:rsidR="00A46866" w:rsidRDefault="00F51091">
      <w:r>
        <w:t xml:space="preserve">Kroz predmetni projekt pratimo i projekt Development of Joint Curriculum for First Responders on the Tactical Procedure in the Use of Force and First Aid - FIRST TAC (Razvoj zajedničkog kurikuluma za uniformirane policijske službenike o taktici i uporabi sredstava prisile te pružanju prve pomoći) u sklopu programa ERASMUS+. </w:t>
      </w:r>
    </w:p>
    <w:p w:rsidR="00A46866" w:rsidRDefault="00F51091">
      <w:r>
        <w:t>Isto tako pratimo i projekt mobilnosti za studente i osoblje koji je financiran sredstvima za unutarnju politiku u sklopu programa ERASMUS+. Radi se o financiranju mobilnosti studenata u svrhu studija, u svrhu stručne prakse, u svrhu podučavanja i u svrhu osposobljavanja.</w:t>
      </w:r>
    </w:p>
    <w:p w:rsidR="00A46866" w:rsidRDefault="00F51091">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46866">
        <w:trPr>
          <w:jc w:val="center"/>
        </w:trPr>
        <w:tc>
          <w:tcPr>
            <w:tcW w:w="2245" w:type="dxa"/>
            <w:shd w:val="clear" w:color="auto" w:fill="B5C0D8"/>
          </w:tcPr>
          <w:p w:rsidR="00A46866" w:rsidRDefault="00F51091">
            <w:pPr>
              <w:jc w:val="center"/>
            </w:pPr>
            <w:r>
              <w:t>Pokazatelj rezultata</w:t>
            </w:r>
          </w:p>
        </w:tc>
        <w:tc>
          <w:tcPr>
            <w:tcW w:w="2245" w:type="dxa"/>
            <w:shd w:val="clear" w:color="auto" w:fill="B5C0D8"/>
          </w:tcPr>
          <w:p w:rsidR="00A46866" w:rsidRDefault="00F51091">
            <w:pPr>
              <w:pStyle w:val="CellHeader"/>
              <w:jc w:val="center"/>
            </w:pPr>
            <w:r>
              <w:rPr>
                <w:rFonts w:cs="Times New Roman"/>
              </w:rPr>
              <w:t>Definicija</w:t>
            </w:r>
          </w:p>
        </w:tc>
        <w:tc>
          <w:tcPr>
            <w:tcW w:w="918" w:type="dxa"/>
            <w:shd w:val="clear" w:color="auto" w:fill="B5C0D8"/>
          </w:tcPr>
          <w:p w:rsidR="00A46866" w:rsidRDefault="00F51091">
            <w:pPr>
              <w:pStyle w:val="CellHeader"/>
              <w:jc w:val="center"/>
            </w:pPr>
            <w:r>
              <w:rPr>
                <w:rFonts w:cs="Times New Roman"/>
              </w:rPr>
              <w:t>Jedinica</w:t>
            </w:r>
          </w:p>
        </w:tc>
        <w:tc>
          <w:tcPr>
            <w:tcW w:w="918" w:type="dxa"/>
            <w:shd w:val="clear" w:color="auto" w:fill="B5C0D8"/>
          </w:tcPr>
          <w:p w:rsidR="00A46866" w:rsidRDefault="00F51091">
            <w:pPr>
              <w:pStyle w:val="CellHeader"/>
              <w:jc w:val="center"/>
            </w:pPr>
            <w:r>
              <w:rPr>
                <w:rFonts w:cs="Times New Roman"/>
              </w:rPr>
              <w:t>Polazna vrijednost</w:t>
            </w:r>
          </w:p>
        </w:tc>
        <w:tc>
          <w:tcPr>
            <w:tcW w:w="918" w:type="dxa"/>
            <w:shd w:val="clear" w:color="auto" w:fill="B5C0D8"/>
          </w:tcPr>
          <w:p w:rsidR="00A46866" w:rsidRDefault="00F51091">
            <w:pPr>
              <w:pStyle w:val="CellHeader"/>
              <w:jc w:val="center"/>
            </w:pPr>
            <w:r>
              <w:rPr>
                <w:rFonts w:cs="Times New Roman"/>
              </w:rPr>
              <w:t>Izvor podataka</w:t>
            </w:r>
          </w:p>
        </w:tc>
        <w:tc>
          <w:tcPr>
            <w:tcW w:w="918" w:type="dxa"/>
            <w:shd w:val="clear" w:color="auto" w:fill="B5C0D8"/>
          </w:tcPr>
          <w:p w:rsidR="00A46866" w:rsidRDefault="00F51091">
            <w:pPr>
              <w:pStyle w:val="CellHeader"/>
              <w:jc w:val="center"/>
            </w:pPr>
            <w:r>
              <w:rPr>
                <w:rFonts w:cs="Times New Roman"/>
              </w:rPr>
              <w:t>Ciljana vrijednost (2024.)</w:t>
            </w:r>
          </w:p>
        </w:tc>
        <w:tc>
          <w:tcPr>
            <w:tcW w:w="918" w:type="dxa"/>
            <w:shd w:val="clear" w:color="auto" w:fill="B5C0D8"/>
          </w:tcPr>
          <w:p w:rsidR="00A46866" w:rsidRDefault="00F51091">
            <w:pPr>
              <w:pStyle w:val="CellHeader"/>
              <w:jc w:val="center"/>
            </w:pPr>
            <w:r>
              <w:rPr>
                <w:rFonts w:cs="Times New Roman"/>
              </w:rPr>
              <w:t>Ciljana vrijednost (2025.)</w:t>
            </w:r>
          </w:p>
        </w:tc>
        <w:tc>
          <w:tcPr>
            <w:tcW w:w="918" w:type="dxa"/>
            <w:shd w:val="clear" w:color="auto" w:fill="B5C0D8"/>
          </w:tcPr>
          <w:p w:rsidR="00A46866" w:rsidRDefault="00F51091">
            <w:pPr>
              <w:pStyle w:val="CellHeader"/>
              <w:jc w:val="center"/>
            </w:pPr>
            <w:r>
              <w:rPr>
                <w:rFonts w:cs="Times New Roman"/>
              </w:rPr>
              <w:t>Ciljana vrijednost (2026.)</w:t>
            </w:r>
          </w:p>
        </w:tc>
      </w:tr>
      <w:tr w:rsidR="00A46866">
        <w:trPr>
          <w:jc w:val="center"/>
        </w:trPr>
        <w:tc>
          <w:tcPr>
            <w:tcW w:w="2245" w:type="dxa"/>
            <w:vAlign w:val="top"/>
          </w:tcPr>
          <w:p w:rsidR="00A46866" w:rsidRDefault="00F51091">
            <w:pPr>
              <w:pStyle w:val="CellColumn"/>
              <w:jc w:val="left"/>
            </w:pPr>
            <w:r>
              <w:rPr>
                <w:rFonts w:cs="Times New Roman"/>
              </w:rPr>
              <w:t xml:space="preserve">Broj obuhvaćenih </w:t>
            </w:r>
          </w:p>
          <w:p w:rsidR="00A46866" w:rsidRDefault="00F51091">
            <w:pPr>
              <w:pStyle w:val="CellColumn"/>
              <w:jc w:val="left"/>
            </w:pPr>
            <w:r>
              <w:rPr>
                <w:rFonts w:cs="Times New Roman"/>
              </w:rPr>
              <w:t>osnovnih škola</w:t>
            </w:r>
          </w:p>
        </w:tc>
        <w:tc>
          <w:tcPr>
            <w:tcW w:w="2245" w:type="dxa"/>
            <w:vAlign w:val="top"/>
          </w:tcPr>
          <w:p w:rsidR="00A46866" w:rsidRDefault="00F51091">
            <w:pPr>
              <w:pStyle w:val="CellColumn"/>
              <w:jc w:val="left"/>
            </w:pPr>
            <w:r>
              <w:rPr>
                <w:rFonts w:cs="Times New Roman"/>
              </w:rPr>
              <w:t xml:space="preserve">Provedba preventivnih </w:t>
            </w:r>
          </w:p>
          <w:p w:rsidR="00A46866" w:rsidRDefault="00F51091">
            <w:pPr>
              <w:pStyle w:val="CellColumn"/>
              <w:jc w:val="left"/>
            </w:pPr>
            <w:r>
              <w:rPr>
                <w:rFonts w:cs="Times New Roman"/>
              </w:rPr>
              <w:t xml:space="preserve">programa Policijske </w:t>
            </w:r>
          </w:p>
          <w:p w:rsidR="00A46866" w:rsidRDefault="00F51091">
            <w:pPr>
              <w:pStyle w:val="CellColumn"/>
              <w:jc w:val="left"/>
            </w:pPr>
            <w:r>
              <w:rPr>
                <w:rFonts w:cs="Times New Roman"/>
              </w:rPr>
              <w:t xml:space="preserve">uprave zagrebačke </w:t>
            </w:r>
          </w:p>
          <w:p w:rsidR="00A46866" w:rsidRDefault="00F51091">
            <w:pPr>
              <w:pStyle w:val="CellColumn"/>
              <w:jc w:val="left"/>
            </w:pPr>
            <w:r>
              <w:rPr>
                <w:rFonts w:cs="Times New Roman"/>
              </w:rPr>
              <w:t xml:space="preserve">sufinanciranih od strane </w:t>
            </w:r>
          </w:p>
          <w:p w:rsidR="00A46866" w:rsidRDefault="00F51091">
            <w:pPr>
              <w:pStyle w:val="CellColumn"/>
              <w:jc w:val="left"/>
            </w:pPr>
            <w:r>
              <w:rPr>
                <w:rFonts w:cs="Times New Roman"/>
              </w:rPr>
              <w:t xml:space="preserve">jedinica lokalne i </w:t>
            </w:r>
          </w:p>
          <w:p w:rsidR="00A46866" w:rsidRDefault="00F51091">
            <w:pPr>
              <w:pStyle w:val="CellColumn"/>
              <w:jc w:val="left"/>
            </w:pPr>
            <w:r>
              <w:rPr>
                <w:rFonts w:cs="Times New Roman"/>
              </w:rPr>
              <w:t>područne samouprave</w:t>
            </w:r>
          </w:p>
        </w:tc>
        <w:tc>
          <w:tcPr>
            <w:tcW w:w="918" w:type="dxa"/>
          </w:tcPr>
          <w:p w:rsidR="00A46866" w:rsidRDefault="00F51091">
            <w:pPr>
              <w:jc w:val="center"/>
            </w:pPr>
            <w:r>
              <w:t>broj</w:t>
            </w:r>
          </w:p>
        </w:tc>
        <w:tc>
          <w:tcPr>
            <w:tcW w:w="918" w:type="dxa"/>
          </w:tcPr>
          <w:p w:rsidR="00A46866" w:rsidRDefault="00F51091">
            <w:pPr>
              <w:jc w:val="center"/>
            </w:pPr>
            <w:r>
              <w:t>161</w:t>
            </w:r>
          </w:p>
        </w:tc>
        <w:tc>
          <w:tcPr>
            <w:tcW w:w="918" w:type="dxa"/>
          </w:tcPr>
          <w:p w:rsidR="00A46866" w:rsidRDefault="00F51091">
            <w:pPr>
              <w:pStyle w:val="CellColumn"/>
              <w:jc w:val="center"/>
            </w:pPr>
            <w:r>
              <w:rPr>
                <w:rFonts w:cs="Times New Roman"/>
              </w:rPr>
              <w:t>MUP</w:t>
            </w:r>
          </w:p>
        </w:tc>
        <w:tc>
          <w:tcPr>
            <w:tcW w:w="918" w:type="dxa"/>
          </w:tcPr>
          <w:p w:rsidR="00A46866" w:rsidRDefault="00F51091">
            <w:pPr>
              <w:jc w:val="center"/>
            </w:pPr>
            <w:r>
              <w:t>161</w:t>
            </w:r>
          </w:p>
        </w:tc>
        <w:tc>
          <w:tcPr>
            <w:tcW w:w="918" w:type="dxa"/>
          </w:tcPr>
          <w:p w:rsidR="00A46866" w:rsidRDefault="00F51091">
            <w:pPr>
              <w:jc w:val="center"/>
            </w:pPr>
            <w:r>
              <w:t>161</w:t>
            </w:r>
          </w:p>
        </w:tc>
        <w:tc>
          <w:tcPr>
            <w:tcW w:w="918" w:type="dxa"/>
          </w:tcPr>
          <w:p w:rsidR="00A46866" w:rsidRDefault="00F51091">
            <w:pPr>
              <w:jc w:val="center"/>
            </w:pPr>
            <w:r>
              <w:t>161</w:t>
            </w:r>
          </w:p>
        </w:tc>
      </w:tr>
    </w:tbl>
    <w:p w:rsidR="00A46866" w:rsidRDefault="00A46866">
      <w:pPr>
        <w:jc w:val="left"/>
      </w:pPr>
    </w:p>
    <w:p w:rsidR="00A46866" w:rsidRDefault="00F51091">
      <w:pPr>
        <w:pStyle w:val="Naslov4"/>
      </w:pPr>
      <w:r>
        <w:t>K553132 INFORMATIZACIJA</w:t>
      </w:r>
    </w:p>
    <w:p w:rsidR="00A46866" w:rsidRDefault="00F51091">
      <w:pPr>
        <w:pStyle w:val="Naslov8"/>
        <w:jc w:val="left"/>
      </w:pPr>
      <w:r>
        <w:t>Zakonske i druge pravne osnove</w:t>
      </w:r>
    </w:p>
    <w:p w:rsidR="00A46866" w:rsidRDefault="00F51091">
      <w:r>
        <w:t>Zakon o policiji - čl. 121.</w:t>
      </w:r>
    </w:p>
    <w:tbl>
      <w:tblPr>
        <w:tblStyle w:val="StilTablice"/>
        <w:tblW w:w="10206" w:type="dxa"/>
        <w:jc w:val="center"/>
        <w:tblLook w:val="04A0" w:firstRow="1" w:lastRow="0" w:firstColumn="1" w:lastColumn="0" w:noHBand="0" w:noVBand="1"/>
      </w:tblPr>
      <w:tblGrid>
        <w:gridCol w:w="1452"/>
        <w:gridCol w:w="1556"/>
        <w:gridCol w:w="1557"/>
        <w:gridCol w:w="1557"/>
        <w:gridCol w:w="1557"/>
        <w:gridCol w:w="1557"/>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K553132</w:t>
            </w:r>
          </w:p>
        </w:tc>
        <w:tc>
          <w:tcPr>
            <w:tcW w:w="1632" w:type="dxa"/>
            <w:vAlign w:val="top"/>
          </w:tcPr>
          <w:p w:rsidR="00A46866" w:rsidRDefault="00F51091">
            <w:pPr>
              <w:jc w:val="right"/>
            </w:pPr>
            <w:r>
              <w:t>15.112.944</w:t>
            </w:r>
          </w:p>
        </w:tc>
        <w:tc>
          <w:tcPr>
            <w:tcW w:w="1632" w:type="dxa"/>
            <w:vAlign w:val="top"/>
          </w:tcPr>
          <w:p w:rsidR="00A46866" w:rsidRDefault="00F51091">
            <w:pPr>
              <w:jc w:val="right"/>
            </w:pPr>
            <w:r>
              <w:t>19.078.000</w:t>
            </w:r>
          </w:p>
        </w:tc>
        <w:tc>
          <w:tcPr>
            <w:tcW w:w="1632" w:type="dxa"/>
            <w:vAlign w:val="top"/>
          </w:tcPr>
          <w:p w:rsidR="00A46866" w:rsidRDefault="00F51091">
            <w:pPr>
              <w:jc w:val="right"/>
            </w:pPr>
            <w:r>
              <w:t>19.381.250</w:t>
            </w:r>
          </w:p>
        </w:tc>
        <w:tc>
          <w:tcPr>
            <w:tcW w:w="1632" w:type="dxa"/>
            <w:vAlign w:val="top"/>
          </w:tcPr>
          <w:p w:rsidR="00A46866" w:rsidRDefault="00F51091">
            <w:pPr>
              <w:jc w:val="right"/>
            </w:pPr>
            <w:r>
              <w:t>18.698.750</w:t>
            </w:r>
          </w:p>
        </w:tc>
        <w:tc>
          <w:tcPr>
            <w:tcW w:w="1632" w:type="dxa"/>
            <w:vAlign w:val="top"/>
          </w:tcPr>
          <w:p w:rsidR="00A46866" w:rsidRDefault="00F51091">
            <w:pPr>
              <w:jc w:val="right"/>
            </w:pPr>
            <w:r>
              <w:t>21.641.250</w:t>
            </w:r>
          </w:p>
        </w:tc>
        <w:tc>
          <w:tcPr>
            <w:tcW w:w="510" w:type="dxa"/>
            <w:vAlign w:val="top"/>
          </w:tcPr>
          <w:p w:rsidR="00A46866" w:rsidRDefault="00F51091">
            <w:pPr>
              <w:jc w:val="right"/>
            </w:pPr>
            <w:r>
              <w:t>101,6</w:t>
            </w:r>
          </w:p>
        </w:tc>
      </w:tr>
    </w:tbl>
    <w:p w:rsidR="00A46866" w:rsidRDefault="00A46866">
      <w:pPr>
        <w:jc w:val="left"/>
      </w:pPr>
    </w:p>
    <w:p w:rsidR="00A46866" w:rsidRDefault="00F51091">
      <w:r>
        <w:t xml:space="preserve">Za predmetni projekt planirana su sredstva za nabavu potrošnog materijala i sitnog inventara (rezervni dijelovi za </w:t>
      </w:r>
    </w:p>
    <w:p w:rsidR="00A46866" w:rsidRDefault="00F51091">
      <w:r>
        <w:t xml:space="preserve">ručne i mobilne stanice, radio linkove, akumulatorske baterije, materijal za održavanje telefonskih centrala, sredstva </w:t>
      </w:r>
    </w:p>
    <w:p w:rsidR="00A46866" w:rsidRDefault="00F51091">
      <w:r>
        <w:t>veze, modeme, antene, telefone i dr.) u iznosu od 902.250 eur / 4,7% za 2024.g. 702.250 eur / 3,8% za 2025.g. te 902.250 eur / 4,2% za 2026.g. Za usluge održavanja informatičkih i komunikacijskih sustava, godišnjih licenci te za ostale računalne usluge planirano je za 2024.g. 9.942.500 eur / 51,3%, a za 2025.g. 9.002.500 eur / 48,1%,  dok je za 2026.g. planirano 11.002.500 eur / 50,8%. Za nabavu licenci planirano je 149.000 eur za cijelo razdoblje, što za 2024. i 2025.g. iznosi 0,8% a za 2026.g. 0,7%. Za zanavljanje računalne i komunikacijske opreme (TETRA bazne stanice, mikrovalni linkovi, termalni uređaji, i sl.) planirano je 2.750.000 eur / 14,2% za 2024.g., zatim 2.650.000 eur / 14,2% za 2025.g. i  2.750.000 eur / 12,7% za 2026.g. Za nabavu novih softwarea te za nadogradnju već postojećih aplikacija planirano je 594.000 eur / 3,1% za 2024.g., 344.000 eur / 1,8% za 2025.g. i 594.000 eur / 2,7% za 2026.g.</w:t>
      </w:r>
    </w:p>
    <w:p w:rsidR="00A46866" w:rsidRDefault="00F51091">
      <w:pPr>
        <w:pStyle w:val="Naslov4"/>
      </w:pPr>
      <w:r>
        <w:t>K553167 FOND ZA UNUTARNJU SIGURNOST - INSTRUMENT ZA POLICIJSKU SURADNJU, SPREČAVANJE I SUZBIJANJE KRIMINALA I UPRAVLJANJE KRIZAMA</w:t>
      </w:r>
    </w:p>
    <w:p w:rsidR="00A46866" w:rsidRDefault="00F51091">
      <w:pPr>
        <w:pStyle w:val="Naslov8"/>
        <w:jc w:val="left"/>
      </w:pPr>
      <w:r>
        <w:t>Zakonske i druge pravne osnove</w:t>
      </w:r>
    </w:p>
    <w:p w:rsidR="00A46866" w:rsidRDefault="00F51091">
      <w:r>
        <w:t xml:space="preserve">Horizontalna uredba - Uredba (EU) br. 514/2014 Europskog parlamenta i Vijeća od 16. travnja 2014. o utvrđivanju </w:t>
      </w:r>
    </w:p>
    <w:p w:rsidR="00A46866" w:rsidRDefault="00F51091">
      <w:r>
        <w:t xml:space="preserve">općih odredaba o Fondu za azil, migracije te integraciju i o Instrumentu za financijsku potporu u području </w:t>
      </w:r>
    </w:p>
    <w:p w:rsidR="00A46866" w:rsidRDefault="00F51091">
      <w:r>
        <w:t xml:space="preserve">policijske suradnje, sprečavanja i suzbijanja kriminala te upravljanja krizama. </w:t>
      </w:r>
    </w:p>
    <w:p w:rsidR="00A46866" w:rsidRDefault="00F51091">
      <w:r>
        <w:t xml:space="preserve">Uredba ISF-P - Uredba (EU) br. 515/2014 Europskog parlamenta i Vijeća od 16. travnja 2014. o uspostavljanju, u </w:t>
      </w:r>
    </w:p>
    <w:p w:rsidR="00A46866" w:rsidRDefault="00F51091">
      <w:r>
        <w:lastRenderedPageBreak/>
        <w:t xml:space="preserve">okviru Fonda za unutarnju sigurnost, Instrumenta za financijsku potporu u području policijske suradnje, </w:t>
      </w:r>
    </w:p>
    <w:p w:rsidR="00A46866" w:rsidRDefault="00F51091">
      <w:r>
        <w:t>sprečavanja i suzbijanja kriminala i upravljanja krizama i stavljanju izvan snage Odluke Vijeća 2007/125/PUP.</w:t>
      </w:r>
    </w:p>
    <w:tbl>
      <w:tblPr>
        <w:tblStyle w:val="StilTablice"/>
        <w:tblW w:w="10206" w:type="dxa"/>
        <w:jc w:val="center"/>
        <w:tblLook w:val="04A0" w:firstRow="1" w:lastRow="0" w:firstColumn="1" w:lastColumn="0" w:noHBand="0" w:noVBand="1"/>
      </w:tblPr>
      <w:tblGrid>
        <w:gridCol w:w="1472"/>
        <w:gridCol w:w="1566"/>
        <w:gridCol w:w="1566"/>
        <w:gridCol w:w="1566"/>
        <w:gridCol w:w="1533"/>
        <w:gridCol w:w="1533"/>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K553167</w:t>
            </w:r>
          </w:p>
        </w:tc>
        <w:tc>
          <w:tcPr>
            <w:tcW w:w="1632" w:type="dxa"/>
            <w:vAlign w:val="top"/>
          </w:tcPr>
          <w:p w:rsidR="00A46866" w:rsidRDefault="00F51091">
            <w:pPr>
              <w:jc w:val="right"/>
            </w:pPr>
            <w:r>
              <w:t>1.930.006</w:t>
            </w:r>
          </w:p>
        </w:tc>
        <w:tc>
          <w:tcPr>
            <w:tcW w:w="1632" w:type="dxa"/>
            <w:vAlign w:val="top"/>
          </w:tcPr>
          <w:p w:rsidR="00A46866" w:rsidRDefault="00F51091">
            <w:pPr>
              <w:jc w:val="right"/>
            </w:pPr>
            <w:r>
              <w:t>1.645.000</w:t>
            </w:r>
          </w:p>
        </w:tc>
        <w:tc>
          <w:tcPr>
            <w:tcW w:w="1632" w:type="dxa"/>
            <w:vAlign w:val="top"/>
          </w:tcPr>
          <w:p w:rsidR="00A46866" w:rsidRDefault="00F51091">
            <w:pPr>
              <w:jc w:val="right"/>
            </w:pPr>
            <w:r>
              <w:t>1.000.000</w:t>
            </w:r>
          </w:p>
        </w:tc>
        <w:tc>
          <w:tcPr>
            <w:tcW w:w="1632" w:type="dxa"/>
            <w:vAlign w:val="top"/>
          </w:tcPr>
          <w:p w:rsidR="00A46866" w:rsidRDefault="00F51091">
            <w:pPr>
              <w:jc w:val="right"/>
            </w:pPr>
            <w:r>
              <w:t>00</w:t>
            </w:r>
          </w:p>
        </w:tc>
        <w:tc>
          <w:tcPr>
            <w:tcW w:w="1632" w:type="dxa"/>
            <w:vAlign w:val="top"/>
          </w:tcPr>
          <w:p w:rsidR="00A46866" w:rsidRDefault="00F51091">
            <w:pPr>
              <w:jc w:val="right"/>
            </w:pPr>
            <w:r>
              <w:t>00</w:t>
            </w:r>
          </w:p>
        </w:tc>
        <w:tc>
          <w:tcPr>
            <w:tcW w:w="510" w:type="dxa"/>
            <w:vAlign w:val="top"/>
          </w:tcPr>
          <w:p w:rsidR="00A46866" w:rsidRDefault="00F51091">
            <w:pPr>
              <w:jc w:val="right"/>
            </w:pPr>
            <w:r>
              <w:t>60,8</w:t>
            </w:r>
          </w:p>
        </w:tc>
      </w:tr>
    </w:tbl>
    <w:p w:rsidR="00A46866" w:rsidRDefault="00A46866">
      <w:pPr>
        <w:jc w:val="left"/>
      </w:pPr>
    </w:p>
    <w:p w:rsidR="00A46866" w:rsidRDefault="00F51091">
      <w:r>
        <w:t xml:space="preserve">Svrha projekta je sprečavanje kriminala, suzbijanje prekograničnog, teškog i organiziranog kriminala uključujući </w:t>
      </w:r>
    </w:p>
    <w:p w:rsidR="00A46866" w:rsidRDefault="00F51091">
      <w:r>
        <w:t xml:space="preserve">terorizam te jačanje koordinacije i suradnje među tijelima za provedbu zakona i drugim nacionalnim tijelima država </w:t>
      </w:r>
    </w:p>
    <w:p w:rsidR="00A46866" w:rsidRDefault="00F51091">
      <w:r>
        <w:t xml:space="preserve">članica, uključujući Europol ili druga relevantna tijela Unije i s relevantnim trećim zemljama i međunarodnim </w:t>
      </w:r>
    </w:p>
    <w:p w:rsidR="00A46866" w:rsidRDefault="00F51091">
      <w:r>
        <w:t xml:space="preserve">organizacijama. Projekti u okviru posebnih ciljeva nacionalnog programa fonda ISF se financiraju iz sredstava </w:t>
      </w:r>
    </w:p>
    <w:p w:rsidR="00A46866" w:rsidRDefault="00F51091">
      <w:r>
        <w:t xml:space="preserve">fonda u rasponu od 75% do 100% opravdanih troškova (ukupan iznos PDV-a je opravdani trošak) – Izvor 575 </w:t>
      </w:r>
    </w:p>
    <w:p w:rsidR="00A46866" w:rsidRDefault="00F51091">
      <w:r>
        <w:t xml:space="preserve">Fondovi za unutarnje poslove i sredstava proračuna Republike Hrvatske – Hrvatska sudjeluje u visini od 25% do </w:t>
      </w:r>
    </w:p>
    <w:p w:rsidR="00A46866" w:rsidRDefault="00F51091">
      <w:r>
        <w:t xml:space="preserve">0% – Izvor 12 Sredstva učešća za pomoći. </w:t>
      </w:r>
    </w:p>
    <w:p w:rsidR="00A46866" w:rsidRDefault="00F51091">
      <w:r>
        <w:t xml:space="preserve"> 2024. godini je planirana realizacija četiri potprojekta: 1. Uspostava sustava za prikupljanje, korištenje i razmjenu podataka o putnicima u zračnom (vrijednost potprojekta 3,04 mil. eur – planiraju se plaćanja u iznosu od 10% vrijednosti potprojekta), 2. Jačanje kapaciteta MUP-a u borbi protiv svih oblika kibernetičkog kriminaliteta (vrijednost 0,995 mil eur – planiraju se završna plaćanja u iznosu od 5% vrijednosti potprojekta i time bi predmetni potprojekt završio), 3. Jačanje kapaciteta MUP-a u zaštiti ljudi i kritične infrastrukture od </w:t>
      </w:r>
    </w:p>
    <w:p w:rsidR="00A46866" w:rsidRDefault="00F51091">
      <w:r>
        <w:t xml:space="preserve">događaja koji mogu ugroziti sigurnost, uključujući djelotvorno upravljanje rizicima i krizama koji mogu ugroziti sigurnost, te borbi protiv terorizma (vrijednost 1,1 mil. eur - očekuju se završna plaćanja u iznosu od 10% vrijednosti potprojekta i time bi predmetni potprojekt završio.), 4. Mobilni pristup bazama podataka i nabava opreme za rad na terenu – CONNECT (vrijednost poptrojekta 1,8 mil. eur- očekuje se završno plaćanje u 30%-tnom iznosu). </w:t>
      </w:r>
    </w:p>
    <w:p w:rsidR="00A46866" w:rsidRDefault="00F51091">
      <w:r>
        <w:t>Predmetni Fond se nalazi u Višegodišnjem financijskom okviru koji se odnosi na razdoblje od 1. siječnja 2014. godine do 31. prosinca 2020. godine te isti se može koristiti do 30.06.2024. godine (trošak mora nastati do 30.06.2024. godine i plaćanja se mogu izvršavati do 30. lipnja 2024. godine).</w:t>
      </w:r>
    </w:p>
    <w:p w:rsidR="00A46866" w:rsidRDefault="00F51091">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46866">
        <w:trPr>
          <w:jc w:val="center"/>
        </w:trPr>
        <w:tc>
          <w:tcPr>
            <w:tcW w:w="2245" w:type="dxa"/>
            <w:shd w:val="clear" w:color="auto" w:fill="B5C0D8"/>
          </w:tcPr>
          <w:p w:rsidR="00A46866" w:rsidRDefault="00F51091">
            <w:pPr>
              <w:jc w:val="center"/>
            </w:pPr>
            <w:r>
              <w:t>Pokazatelj rezultata</w:t>
            </w:r>
          </w:p>
        </w:tc>
        <w:tc>
          <w:tcPr>
            <w:tcW w:w="2245" w:type="dxa"/>
            <w:shd w:val="clear" w:color="auto" w:fill="B5C0D8"/>
          </w:tcPr>
          <w:p w:rsidR="00A46866" w:rsidRDefault="00F51091">
            <w:pPr>
              <w:pStyle w:val="CellHeader"/>
              <w:jc w:val="center"/>
            </w:pPr>
            <w:r>
              <w:rPr>
                <w:rFonts w:cs="Times New Roman"/>
              </w:rPr>
              <w:t>Definicija</w:t>
            </w:r>
          </w:p>
        </w:tc>
        <w:tc>
          <w:tcPr>
            <w:tcW w:w="918" w:type="dxa"/>
            <w:shd w:val="clear" w:color="auto" w:fill="B5C0D8"/>
          </w:tcPr>
          <w:p w:rsidR="00A46866" w:rsidRDefault="00F51091">
            <w:pPr>
              <w:pStyle w:val="CellHeader"/>
              <w:jc w:val="center"/>
            </w:pPr>
            <w:r>
              <w:rPr>
                <w:rFonts w:cs="Times New Roman"/>
              </w:rPr>
              <w:t>Jedinica</w:t>
            </w:r>
          </w:p>
        </w:tc>
        <w:tc>
          <w:tcPr>
            <w:tcW w:w="918" w:type="dxa"/>
            <w:shd w:val="clear" w:color="auto" w:fill="B5C0D8"/>
          </w:tcPr>
          <w:p w:rsidR="00A46866" w:rsidRDefault="00F51091">
            <w:pPr>
              <w:pStyle w:val="CellHeader"/>
              <w:jc w:val="center"/>
            </w:pPr>
            <w:r>
              <w:rPr>
                <w:rFonts w:cs="Times New Roman"/>
              </w:rPr>
              <w:t>Polazna vrijednost</w:t>
            </w:r>
          </w:p>
        </w:tc>
        <w:tc>
          <w:tcPr>
            <w:tcW w:w="918" w:type="dxa"/>
            <w:shd w:val="clear" w:color="auto" w:fill="B5C0D8"/>
          </w:tcPr>
          <w:p w:rsidR="00A46866" w:rsidRDefault="00F51091">
            <w:pPr>
              <w:pStyle w:val="CellHeader"/>
              <w:jc w:val="center"/>
            </w:pPr>
            <w:r>
              <w:rPr>
                <w:rFonts w:cs="Times New Roman"/>
              </w:rPr>
              <w:t>Izvor podataka</w:t>
            </w:r>
          </w:p>
        </w:tc>
        <w:tc>
          <w:tcPr>
            <w:tcW w:w="918" w:type="dxa"/>
            <w:shd w:val="clear" w:color="auto" w:fill="B5C0D8"/>
          </w:tcPr>
          <w:p w:rsidR="00A46866" w:rsidRDefault="00F51091">
            <w:pPr>
              <w:pStyle w:val="CellHeader"/>
              <w:jc w:val="center"/>
            </w:pPr>
            <w:r>
              <w:rPr>
                <w:rFonts w:cs="Times New Roman"/>
              </w:rPr>
              <w:t>Ciljana vrijednost (2024.)</w:t>
            </w:r>
          </w:p>
        </w:tc>
        <w:tc>
          <w:tcPr>
            <w:tcW w:w="918" w:type="dxa"/>
            <w:shd w:val="clear" w:color="auto" w:fill="B5C0D8"/>
          </w:tcPr>
          <w:p w:rsidR="00A46866" w:rsidRDefault="00F51091">
            <w:pPr>
              <w:pStyle w:val="CellHeader"/>
              <w:jc w:val="center"/>
            </w:pPr>
            <w:r>
              <w:rPr>
                <w:rFonts w:cs="Times New Roman"/>
              </w:rPr>
              <w:t>Ciljana vrijednost (2025.)</w:t>
            </w:r>
          </w:p>
        </w:tc>
        <w:tc>
          <w:tcPr>
            <w:tcW w:w="918" w:type="dxa"/>
            <w:shd w:val="clear" w:color="auto" w:fill="B5C0D8"/>
          </w:tcPr>
          <w:p w:rsidR="00A46866" w:rsidRDefault="00F51091">
            <w:pPr>
              <w:pStyle w:val="CellHeader"/>
              <w:jc w:val="center"/>
            </w:pPr>
            <w:r>
              <w:rPr>
                <w:rFonts w:cs="Times New Roman"/>
              </w:rPr>
              <w:t>Ciljana vrijednost (2026.)</w:t>
            </w:r>
          </w:p>
        </w:tc>
      </w:tr>
      <w:tr w:rsidR="00A46866">
        <w:trPr>
          <w:jc w:val="center"/>
        </w:trPr>
        <w:tc>
          <w:tcPr>
            <w:tcW w:w="2245" w:type="dxa"/>
            <w:vAlign w:val="top"/>
          </w:tcPr>
          <w:p w:rsidR="00A46866" w:rsidRDefault="00F51091">
            <w:pPr>
              <w:pStyle w:val="CellColumn"/>
              <w:jc w:val="left"/>
            </w:pPr>
            <w:r>
              <w:rPr>
                <w:rFonts w:cs="Times New Roman"/>
              </w:rPr>
              <w:t xml:space="preserve">Implementacija PNR </w:t>
            </w:r>
          </w:p>
          <w:p w:rsidR="00A46866" w:rsidRDefault="00F51091">
            <w:pPr>
              <w:pStyle w:val="CellColumn"/>
              <w:jc w:val="left"/>
            </w:pPr>
            <w:r>
              <w:rPr>
                <w:rFonts w:cs="Times New Roman"/>
              </w:rPr>
              <w:t xml:space="preserve">direktive (Registar imena </w:t>
            </w:r>
          </w:p>
          <w:p w:rsidR="00A46866" w:rsidRDefault="00F51091">
            <w:pPr>
              <w:pStyle w:val="CellColumn"/>
              <w:jc w:val="left"/>
            </w:pPr>
            <w:r>
              <w:rPr>
                <w:rFonts w:cs="Times New Roman"/>
              </w:rPr>
              <w:t xml:space="preserve">putnika-Passenger Name </w:t>
            </w:r>
          </w:p>
          <w:p w:rsidR="00A46866" w:rsidRDefault="00F51091">
            <w:pPr>
              <w:pStyle w:val="CellColumn"/>
              <w:jc w:val="left"/>
            </w:pPr>
            <w:r>
              <w:rPr>
                <w:rFonts w:cs="Times New Roman"/>
              </w:rPr>
              <w:t>Record PNR)</w:t>
            </w:r>
          </w:p>
        </w:tc>
        <w:tc>
          <w:tcPr>
            <w:tcW w:w="2245" w:type="dxa"/>
            <w:vAlign w:val="top"/>
          </w:tcPr>
          <w:p w:rsidR="00A46866" w:rsidRDefault="00F51091">
            <w:pPr>
              <w:pStyle w:val="CellColumn"/>
              <w:jc w:val="left"/>
            </w:pPr>
            <w:r>
              <w:rPr>
                <w:rFonts w:cs="Times New Roman"/>
              </w:rPr>
              <w:t xml:space="preserve">Implementacijom PNR </w:t>
            </w:r>
          </w:p>
          <w:p w:rsidR="00A46866" w:rsidRDefault="00F51091">
            <w:pPr>
              <w:pStyle w:val="CellColumn"/>
              <w:jc w:val="left"/>
            </w:pPr>
            <w:r>
              <w:rPr>
                <w:rFonts w:cs="Times New Roman"/>
              </w:rPr>
              <w:t xml:space="preserve">direktive MUP će učvrstiti </w:t>
            </w:r>
          </w:p>
          <w:p w:rsidR="00A46866" w:rsidRDefault="00F51091">
            <w:pPr>
              <w:pStyle w:val="CellColumn"/>
              <w:jc w:val="left"/>
            </w:pPr>
            <w:r>
              <w:rPr>
                <w:rFonts w:cs="Times New Roman"/>
              </w:rPr>
              <w:t xml:space="preserve">suverenitet RH, osnažit će </w:t>
            </w:r>
          </w:p>
          <w:p w:rsidR="00A46866" w:rsidRDefault="00F51091">
            <w:pPr>
              <w:pStyle w:val="CellColumn"/>
              <w:jc w:val="left"/>
            </w:pPr>
            <w:r>
              <w:rPr>
                <w:rFonts w:cs="Times New Roman"/>
              </w:rPr>
              <w:t xml:space="preserve">kapacitete hrvatsku </w:t>
            </w:r>
          </w:p>
          <w:p w:rsidR="00A46866" w:rsidRDefault="00F51091">
            <w:pPr>
              <w:pStyle w:val="CellColumn"/>
              <w:jc w:val="left"/>
            </w:pPr>
            <w:r>
              <w:rPr>
                <w:rFonts w:cs="Times New Roman"/>
              </w:rPr>
              <w:t xml:space="preserve">policije na način da će se </w:t>
            </w:r>
          </w:p>
          <w:p w:rsidR="00A46866" w:rsidRDefault="00F51091">
            <w:pPr>
              <w:pStyle w:val="CellColumn"/>
              <w:jc w:val="left"/>
            </w:pPr>
            <w:r>
              <w:rPr>
                <w:rFonts w:cs="Times New Roman"/>
              </w:rPr>
              <w:t xml:space="preserve">povezati sa </w:t>
            </w:r>
          </w:p>
          <w:p w:rsidR="00A46866" w:rsidRDefault="00F51091">
            <w:pPr>
              <w:pStyle w:val="CellColumn"/>
              <w:jc w:val="left"/>
            </w:pPr>
            <w:r>
              <w:rPr>
                <w:rFonts w:cs="Times New Roman"/>
              </w:rPr>
              <w:t xml:space="preserve">avioprijevoznicima i tako </w:t>
            </w:r>
          </w:p>
          <w:p w:rsidR="00A46866" w:rsidRDefault="00F51091">
            <w:pPr>
              <w:pStyle w:val="CellColumn"/>
              <w:jc w:val="left"/>
            </w:pPr>
            <w:r>
              <w:rPr>
                <w:rFonts w:cs="Times New Roman"/>
              </w:rPr>
              <w:t xml:space="preserve">povećati sigurnost putnika </w:t>
            </w:r>
          </w:p>
          <w:p w:rsidR="00A46866" w:rsidRDefault="00F51091">
            <w:pPr>
              <w:pStyle w:val="CellColumn"/>
              <w:jc w:val="left"/>
            </w:pPr>
            <w:r>
              <w:rPr>
                <w:rFonts w:cs="Times New Roman"/>
              </w:rPr>
              <w:t>u zračnom prijevozu.</w:t>
            </w:r>
          </w:p>
        </w:tc>
        <w:tc>
          <w:tcPr>
            <w:tcW w:w="918" w:type="dxa"/>
          </w:tcPr>
          <w:p w:rsidR="00A46866" w:rsidRDefault="00F51091">
            <w:pPr>
              <w:jc w:val="center"/>
            </w:pPr>
            <w:r>
              <w:t>%</w:t>
            </w:r>
          </w:p>
        </w:tc>
        <w:tc>
          <w:tcPr>
            <w:tcW w:w="918" w:type="dxa"/>
          </w:tcPr>
          <w:p w:rsidR="00A46866" w:rsidRDefault="00F51091">
            <w:pPr>
              <w:jc w:val="center"/>
            </w:pPr>
            <w:r>
              <w:t>80</w:t>
            </w:r>
          </w:p>
        </w:tc>
        <w:tc>
          <w:tcPr>
            <w:tcW w:w="918" w:type="dxa"/>
          </w:tcPr>
          <w:p w:rsidR="00A46866" w:rsidRDefault="00F51091">
            <w:pPr>
              <w:pStyle w:val="CellColumn"/>
              <w:jc w:val="center"/>
            </w:pPr>
            <w:r>
              <w:rPr>
                <w:rFonts w:cs="Times New Roman"/>
              </w:rPr>
              <w:t>MUP</w:t>
            </w:r>
          </w:p>
        </w:tc>
        <w:tc>
          <w:tcPr>
            <w:tcW w:w="918" w:type="dxa"/>
          </w:tcPr>
          <w:p w:rsidR="00A46866" w:rsidRDefault="00F51091">
            <w:pPr>
              <w:jc w:val="center"/>
            </w:pPr>
            <w:r>
              <w:t>100</w:t>
            </w:r>
          </w:p>
        </w:tc>
        <w:tc>
          <w:tcPr>
            <w:tcW w:w="918" w:type="dxa"/>
          </w:tcPr>
          <w:p w:rsidR="00A46866" w:rsidRDefault="00F51091">
            <w:pPr>
              <w:jc w:val="center"/>
            </w:pPr>
            <w:r>
              <w:t>100</w:t>
            </w:r>
          </w:p>
        </w:tc>
        <w:tc>
          <w:tcPr>
            <w:tcW w:w="918" w:type="dxa"/>
          </w:tcPr>
          <w:p w:rsidR="00A46866" w:rsidRDefault="00F51091">
            <w:pPr>
              <w:jc w:val="center"/>
            </w:pPr>
            <w:r>
              <w:t>100</w:t>
            </w:r>
          </w:p>
        </w:tc>
      </w:tr>
    </w:tbl>
    <w:p w:rsidR="00A46866" w:rsidRDefault="00A46866">
      <w:pPr>
        <w:jc w:val="left"/>
      </w:pPr>
    </w:p>
    <w:p w:rsidR="00A46866" w:rsidRDefault="00F51091">
      <w:pPr>
        <w:pStyle w:val="Naslov4"/>
      </w:pPr>
      <w:r>
        <w:t>K553169 FOND ZA AZIL, MIGRACIJE I INTEGRACIJU</w:t>
      </w:r>
    </w:p>
    <w:p w:rsidR="00A46866" w:rsidRDefault="00F51091">
      <w:pPr>
        <w:pStyle w:val="Naslov8"/>
        <w:jc w:val="left"/>
      </w:pPr>
      <w:r>
        <w:t>Zakonske i druge pravne osnove</w:t>
      </w:r>
    </w:p>
    <w:p w:rsidR="00A46866" w:rsidRDefault="00F51091">
      <w:r>
        <w:t xml:space="preserve">Horizontalna uredba - Uredba (EU) br. 514/2014 Europskog parlamenta i Vijeća od 16. travnja 2014. o utvrđivanju </w:t>
      </w:r>
    </w:p>
    <w:p w:rsidR="00A46866" w:rsidRDefault="00F51091">
      <w:r>
        <w:t xml:space="preserve">općih odredaba o Fondu za azil, migracije te integraciju i o Instrumentu za financijsku potporu u području </w:t>
      </w:r>
    </w:p>
    <w:p w:rsidR="00A46866" w:rsidRDefault="00F51091">
      <w:r>
        <w:lastRenderedPageBreak/>
        <w:t xml:space="preserve">policijske suradnje, sprečavanja i suzbijanja kriminala te upravljanja krizama. </w:t>
      </w:r>
    </w:p>
    <w:p w:rsidR="00A46866" w:rsidRDefault="00F51091">
      <w:r>
        <w:t xml:space="preserve">Uredba AMIF - Uredba (EU) br 516/214 Europskog parlamenta i Vijeća od 16. travnja 2014. o uspostavi Fonda za </w:t>
      </w:r>
    </w:p>
    <w:p w:rsidR="00A46866" w:rsidRDefault="00F51091">
      <w:r>
        <w:t xml:space="preserve">azil, migracije i integraciju, o izmjeni odluke Vijeća 2008/381/EZ i o stavljanju izvan snage odluka br. 573/2007 i </w:t>
      </w:r>
    </w:p>
    <w:p w:rsidR="00A46866" w:rsidRDefault="00F51091">
      <w:r>
        <w:t>br. 575/2007/EZ Europskog parlamenta i Vijeća EU te Odluke Vijeća 2007/435/EZ.</w:t>
      </w:r>
    </w:p>
    <w:tbl>
      <w:tblPr>
        <w:tblStyle w:val="StilTablice"/>
        <w:tblW w:w="10206" w:type="dxa"/>
        <w:jc w:val="center"/>
        <w:tblLook w:val="04A0" w:firstRow="1" w:lastRow="0" w:firstColumn="1" w:lastColumn="0" w:noHBand="0" w:noVBand="1"/>
      </w:tblPr>
      <w:tblGrid>
        <w:gridCol w:w="1472"/>
        <w:gridCol w:w="1566"/>
        <w:gridCol w:w="1566"/>
        <w:gridCol w:w="1566"/>
        <w:gridCol w:w="1533"/>
        <w:gridCol w:w="1533"/>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K553169</w:t>
            </w:r>
          </w:p>
        </w:tc>
        <w:tc>
          <w:tcPr>
            <w:tcW w:w="1632" w:type="dxa"/>
            <w:vAlign w:val="top"/>
          </w:tcPr>
          <w:p w:rsidR="00A46866" w:rsidRDefault="00F51091">
            <w:pPr>
              <w:jc w:val="right"/>
            </w:pPr>
            <w:r>
              <w:t>3.253.193</w:t>
            </w:r>
          </w:p>
        </w:tc>
        <w:tc>
          <w:tcPr>
            <w:tcW w:w="1632" w:type="dxa"/>
            <w:vAlign w:val="top"/>
          </w:tcPr>
          <w:p w:rsidR="00A46866" w:rsidRDefault="00F51091">
            <w:pPr>
              <w:jc w:val="right"/>
            </w:pPr>
            <w:r>
              <w:t>3.063.000</w:t>
            </w:r>
          </w:p>
        </w:tc>
        <w:tc>
          <w:tcPr>
            <w:tcW w:w="1632" w:type="dxa"/>
            <w:vAlign w:val="top"/>
          </w:tcPr>
          <w:p w:rsidR="00A46866" w:rsidRDefault="00F51091">
            <w:pPr>
              <w:jc w:val="right"/>
            </w:pPr>
            <w:r>
              <w:t>1.970.000</w:t>
            </w:r>
          </w:p>
        </w:tc>
        <w:tc>
          <w:tcPr>
            <w:tcW w:w="1632" w:type="dxa"/>
            <w:vAlign w:val="top"/>
          </w:tcPr>
          <w:p w:rsidR="00A46866" w:rsidRDefault="00F51091">
            <w:pPr>
              <w:jc w:val="right"/>
            </w:pPr>
            <w:r>
              <w:t>00</w:t>
            </w:r>
          </w:p>
        </w:tc>
        <w:tc>
          <w:tcPr>
            <w:tcW w:w="1632" w:type="dxa"/>
            <w:vAlign w:val="top"/>
          </w:tcPr>
          <w:p w:rsidR="00A46866" w:rsidRDefault="00F51091">
            <w:pPr>
              <w:jc w:val="right"/>
            </w:pPr>
            <w:r>
              <w:t>00</w:t>
            </w:r>
          </w:p>
        </w:tc>
        <w:tc>
          <w:tcPr>
            <w:tcW w:w="510" w:type="dxa"/>
            <w:vAlign w:val="top"/>
          </w:tcPr>
          <w:p w:rsidR="00A46866" w:rsidRDefault="00F51091">
            <w:pPr>
              <w:jc w:val="right"/>
            </w:pPr>
            <w:r>
              <w:t>64,3</w:t>
            </w:r>
          </w:p>
        </w:tc>
      </w:tr>
    </w:tbl>
    <w:p w:rsidR="00A46866" w:rsidRDefault="00A46866">
      <w:pPr>
        <w:jc w:val="left"/>
      </w:pPr>
    </w:p>
    <w:p w:rsidR="00A46866" w:rsidRDefault="00F51091">
      <w:r>
        <w:t xml:space="preserve">Projekt je usmjeren jačanju i razvoju svih aspekata Zajedničkog europskog sustava azila, zatim jačanju solidarnosti </w:t>
      </w:r>
    </w:p>
    <w:p w:rsidR="00A46866" w:rsidRDefault="00F51091">
      <w:r>
        <w:t xml:space="preserve">i dijeljenja odgovornosti između država članica, kao i jačanju pravednih i djelotvornih strategija povratka u </w:t>
      </w:r>
    </w:p>
    <w:p w:rsidR="00A46866" w:rsidRDefault="00F51091">
      <w:r>
        <w:t xml:space="preserve">državama članicama koje doprinose suzbijanju nezakonitog useljavanja. U okviru projekta planira se povećanje </w:t>
      </w:r>
    </w:p>
    <w:p w:rsidR="00A46866" w:rsidRDefault="00F51091">
      <w:r>
        <w:t xml:space="preserve">spremnosti za mogućnost porasta broja tražitelja azila. Projekti u okviru posebnih ciljeva nacionalnog programa </w:t>
      </w:r>
    </w:p>
    <w:p w:rsidR="00A46866" w:rsidRDefault="00F51091">
      <w:r>
        <w:t xml:space="preserve">fonda AMIF se financiraju iz sredstava fonda u visini od 75% do 90% opravdanih troškova (ukupan iznos PDV-a je </w:t>
      </w:r>
    </w:p>
    <w:p w:rsidR="00A46866" w:rsidRDefault="00F51091">
      <w:r>
        <w:t xml:space="preserve">opravdani trošak) – Izvor 575 Fondovi za unutarnje poslove i sredstava proračuna Republike Hrvatske – Hrvatska </w:t>
      </w:r>
    </w:p>
    <w:p w:rsidR="00A46866" w:rsidRDefault="00F51091">
      <w:r>
        <w:t xml:space="preserve">sudjeluje u visini od 25%do 10% – Izvor 12 Sredstva učešća za pomoći. </w:t>
      </w:r>
    </w:p>
    <w:p w:rsidR="00A46866" w:rsidRDefault="00F51091">
      <w:r>
        <w:t xml:space="preserve">U 2023. godini je planirana realizacija 15 potprojekata: 1. Pomoć u održavanju adekvatne razine smještaja u Prihvatnom centru za strance (vrijednost potprojekta je 0,32 mil.kn – planira se plaćanje u iznosu od 10% vrijednosti potprojekta), 2. Provođenje postupka povratka državljana trećih zemalja (vrijednost potprojekta je 0,4 mil. eur – planira se plaćanje u iznosu od 30% vrijednosti potprojekta), 3. Potpomognuti dragovoljni povratak (vrijednost potprojekta je 0,7 mil. eur - planira se završno plaćanje u iznosu od 10% vrijednosti potprojekta), 4. Pomoć u održavanju adekvatne razine smještaja u prihvatilištima za tražitelje azila (vrijednost potprojekta je 1,085 mil. eur – planira se završno plaćanje u iznosu od 10% vrijednosti potprojekta), 5. Nabava opreme za potrebe prihvatilišta za tražitelje azila i Odjela za azil (vrijednost potprojekta je 0,684 mil. eur – planira se završno plaćanje u iznosu od 8% vrijednosti projekta), 6. Uređenje prihvatilišta za tražitelje međunarodne zaštite u Kutini (vrijednost potprojekta je 1,251 mil. eur – planira se završno plaćanje u 10%-tom iznosu vrijednosti potprojekta), 7. Novi susjedi – uključivanje osoba s odobrenom međunarodnom zaštitom u hrvatsko društvo (vrijednost potprojekta iznosi 1,935 mil. eur – planira se završno plaćanje u 10%-tnom iznosu vrijednosti potprojekta), 8. Uređenje prihvatilišta za tražitelje međunarodne zaštite u Zagrebu (vrijednost potprojekta iznosi 3,445 mil. eur – planira se plaćanje u 10%.-tnom iznosu vrijednosti potprojekta), 9. Besplatna pravna pomoć u postupku odobrenja međunarodne zaštite (vrijednost potprojekta iznosi 0,373 mil. eur – planira se izvršenje plaćanja u 10%-tnom iznos u vrijednosti potprojekta), 10. Usluge prevođenja tijekom pružanja pomoći pri integraciji (vrijednost projekta iznosi 68.000 mil. eur – planira se izvršenje plaćanja u 10%-tnom iznosu vrijednosti potprojekta), 11. Prevođenje i širenje mreže prevoditelja u postupku odobrenja međunarodne zaštite (vrijednost potprojekta iznosi 0,324 mil. eur – planira se izvršenje plaćanja u 10%-tnom iznosu vrijednosti potprojekta),12. RECORD – razvoj, implementacija i održavanje aplikacije za potrebe međunarodne zaštite (vrijednost potprojekta iznosi 0,8 mil. eur – planira se plaćanje u 10%-tnom iznosu vrijednosti potprojekta), 13. Nabava opreme za potrebe Službe za prihvat i smještaj tražitelja međunarodne zaštite i Službe za međunarodnu zaštitu – NOP2 (vrijednost potprojekta iznosi 0,49 mil. eur – planira se plaćanje u 10%-tnom iznosu vrijednosti potprojekta,  14. Poboljšanje uvjeta smještaja i rada u Prihvatnom centru za strance u Ježevu - II faza (vrijednost potprojekta iznosi 0,55 mil. eur - planira se plaćanje u 10%-tnom iznosu vrijednosti potprojekta) i 15. Poboljšanje uvjeta smještaja u Tranzitnom prihvatnom centru Trilj (vrijednost potprojekta iznosi 0,25 mil. eur - planira se plaćanje u 40%-tnom iznosu vrijednosti potprojekta).  </w:t>
      </w:r>
    </w:p>
    <w:p w:rsidR="00A46866" w:rsidRDefault="00F51091">
      <w:r>
        <w:t xml:space="preserve">Predmetni Fond se nalazi u Višegodišnjem financijskom okviru koji se odnosi na razdoblje od 1. siječnja 2014. </w:t>
      </w:r>
    </w:p>
    <w:p w:rsidR="00A46866" w:rsidRDefault="00F51091">
      <w:r>
        <w:t xml:space="preserve">godine do 31. prosinca 2020. godine, isti se može koristiti do 30.06.2024. godine (trošak mora nastati do </w:t>
      </w:r>
    </w:p>
    <w:p w:rsidR="00A46866" w:rsidRDefault="00F51091">
      <w:r>
        <w:t>30.06.2024. godine ii plaćanja se mogu izvršavati do 30. lipnja 2024. godine).</w:t>
      </w:r>
    </w:p>
    <w:p w:rsidR="00A46866" w:rsidRDefault="00F51091">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46866">
        <w:trPr>
          <w:jc w:val="center"/>
        </w:trPr>
        <w:tc>
          <w:tcPr>
            <w:tcW w:w="2245" w:type="dxa"/>
            <w:shd w:val="clear" w:color="auto" w:fill="B5C0D8"/>
          </w:tcPr>
          <w:p w:rsidR="00A46866" w:rsidRDefault="00F51091">
            <w:pPr>
              <w:jc w:val="center"/>
            </w:pPr>
            <w:r>
              <w:t>Pokazatelj rezultata</w:t>
            </w:r>
          </w:p>
        </w:tc>
        <w:tc>
          <w:tcPr>
            <w:tcW w:w="2245" w:type="dxa"/>
            <w:shd w:val="clear" w:color="auto" w:fill="B5C0D8"/>
          </w:tcPr>
          <w:p w:rsidR="00A46866" w:rsidRDefault="00F51091">
            <w:pPr>
              <w:pStyle w:val="CellHeader"/>
              <w:jc w:val="center"/>
            </w:pPr>
            <w:r>
              <w:rPr>
                <w:rFonts w:cs="Times New Roman"/>
              </w:rPr>
              <w:t>Definicija</w:t>
            </w:r>
          </w:p>
        </w:tc>
        <w:tc>
          <w:tcPr>
            <w:tcW w:w="918" w:type="dxa"/>
            <w:shd w:val="clear" w:color="auto" w:fill="B5C0D8"/>
          </w:tcPr>
          <w:p w:rsidR="00A46866" w:rsidRDefault="00F51091">
            <w:pPr>
              <w:pStyle w:val="CellHeader"/>
              <w:jc w:val="center"/>
            </w:pPr>
            <w:r>
              <w:rPr>
                <w:rFonts w:cs="Times New Roman"/>
              </w:rPr>
              <w:t>Jedinica</w:t>
            </w:r>
          </w:p>
        </w:tc>
        <w:tc>
          <w:tcPr>
            <w:tcW w:w="918" w:type="dxa"/>
            <w:shd w:val="clear" w:color="auto" w:fill="B5C0D8"/>
          </w:tcPr>
          <w:p w:rsidR="00A46866" w:rsidRDefault="00F51091">
            <w:pPr>
              <w:pStyle w:val="CellHeader"/>
              <w:jc w:val="center"/>
            </w:pPr>
            <w:r>
              <w:rPr>
                <w:rFonts w:cs="Times New Roman"/>
              </w:rPr>
              <w:t>Polazna vrijednost</w:t>
            </w:r>
          </w:p>
        </w:tc>
        <w:tc>
          <w:tcPr>
            <w:tcW w:w="918" w:type="dxa"/>
            <w:shd w:val="clear" w:color="auto" w:fill="B5C0D8"/>
          </w:tcPr>
          <w:p w:rsidR="00A46866" w:rsidRDefault="00F51091">
            <w:pPr>
              <w:pStyle w:val="CellHeader"/>
              <w:jc w:val="center"/>
            </w:pPr>
            <w:r>
              <w:rPr>
                <w:rFonts w:cs="Times New Roman"/>
              </w:rPr>
              <w:t>Izvor podataka</w:t>
            </w:r>
          </w:p>
        </w:tc>
        <w:tc>
          <w:tcPr>
            <w:tcW w:w="918" w:type="dxa"/>
            <w:shd w:val="clear" w:color="auto" w:fill="B5C0D8"/>
          </w:tcPr>
          <w:p w:rsidR="00A46866" w:rsidRDefault="00F51091">
            <w:pPr>
              <w:pStyle w:val="CellHeader"/>
              <w:jc w:val="center"/>
            </w:pPr>
            <w:r>
              <w:rPr>
                <w:rFonts w:cs="Times New Roman"/>
              </w:rPr>
              <w:t>Ciljana vrijednost (2024.)</w:t>
            </w:r>
          </w:p>
        </w:tc>
        <w:tc>
          <w:tcPr>
            <w:tcW w:w="918" w:type="dxa"/>
            <w:shd w:val="clear" w:color="auto" w:fill="B5C0D8"/>
          </w:tcPr>
          <w:p w:rsidR="00A46866" w:rsidRDefault="00F51091">
            <w:pPr>
              <w:pStyle w:val="CellHeader"/>
              <w:jc w:val="center"/>
            </w:pPr>
            <w:r>
              <w:rPr>
                <w:rFonts w:cs="Times New Roman"/>
              </w:rPr>
              <w:t>Ciljana vrijednost (2025.)</w:t>
            </w:r>
          </w:p>
        </w:tc>
        <w:tc>
          <w:tcPr>
            <w:tcW w:w="918" w:type="dxa"/>
            <w:shd w:val="clear" w:color="auto" w:fill="B5C0D8"/>
          </w:tcPr>
          <w:p w:rsidR="00A46866" w:rsidRDefault="00F51091">
            <w:pPr>
              <w:pStyle w:val="CellHeader"/>
              <w:jc w:val="center"/>
            </w:pPr>
            <w:r>
              <w:rPr>
                <w:rFonts w:cs="Times New Roman"/>
              </w:rPr>
              <w:t>Ciljana vrijednost (2026.)</w:t>
            </w:r>
          </w:p>
        </w:tc>
      </w:tr>
      <w:tr w:rsidR="00A46866">
        <w:trPr>
          <w:jc w:val="center"/>
        </w:trPr>
        <w:tc>
          <w:tcPr>
            <w:tcW w:w="2245" w:type="dxa"/>
            <w:vAlign w:val="top"/>
          </w:tcPr>
          <w:p w:rsidR="00A46866" w:rsidRDefault="00F51091">
            <w:pPr>
              <w:pStyle w:val="CellColumn"/>
              <w:jc w:val="left"/>
            </w:pPr>
            <w:r>
              <w:rPr>
                <w:rFonts w:cs="Times New Roman"/>
              </w:rPr>
              <w:lastRenderedPageBreak/>
              <w:t xml:space="preserve">Broj tražitelja </w:t>
            </w:r>
          </w:p>
          <w:p w:rsidR="00A46866" w:rsidRDefault="00F51091">
            <w:pPr>
              <w:pStyle w:val="CellColumn"/>
              <w:jc w:val="left"/>
            </w:pPr>
            <w:r>
              <w:rPr>
                <w:rFonts w:cs="Times New Roman"/>
              </w:rPr>
              <w:t xml:space="preserve">međunarodne zaštite </w:t>
            </w:r>
          </w:p>
          <w:p w:rsidR="00A46866" w:rsidRDefault="00F51091">
            <w:pPr>
              <w:pStyle w:val="CellColumn"/>
              <w:jc w:val="left"/>
            </w:pPr>
            <w:r>
              <w:rPr>
                <w:rFonts w:cs="Times New Roman"/>
              </w:rPr>
              <w:t xml:space="preserve">kojima je pružena potpora </w:t>
            </w:r>
          </w:p>
          <w:p w:rsidR="00A46866" w:rsidRDefault="00F51091">
            <w:pPr>
              <w:pStyle w:val="CellColumn"/>
              <w:jc w:val="left"/>
            </w:pPr>
            <w:r>
              <w:rPr>
                <w:rFonts w:cs="Times New Roman"/>
              </w:rPr>
              <w:t>kroz aktivnosti Fonda</w:t>
            </w:r>
          </w:p>
        </w:tc>
        <w:tc>
          <w:tcPr>
            <w:tcW w:w="2245" w:type="dxa"/>
            <w:vAlign w:val="top"/>
          </w:tcPr>
          <w:p w:rsidR="00A46866" w:rsidRDefault="00F51091">
            <w:pPr>
              <w:pStyle w:val="CellColumn"/>
              <w:jc w:val="left"/>
            </w:pPr>
            <w:r>
              <w:rPr>
                <w:rFonts w:cs="Times New Roman"/>
              </w:rPr>
              <w:t xml:space="preserve">Kroz povećani broj </w:t>
            </w:r>
          </w:p>
          <w:p w:rsidR="00A46866" w:rsidRDefault="00F51091">
            <w:pPr>
              <w:pStyle w:val="CellColumn"/>
              <w:jc w:val="left"/>
            </w:pPr>
            <w:r>
              <w:rPr>
                <w:rFonts w:cs="Times New Roman"/>
              </w:rPr>
              <w:t xml:space="preserve">tražitelja međunarodne </w:t>
            </w:r>
          </w:p>
          <w:p w:rsidR="00A46866" w:rsidRDefault="00F51091">
            <w:pPr>
              <w:pStyle w:val="CellColumn"/>
              <w:jc w:val="left"/>
            </w:pPr>
            <w:r>
              <w:rPr>
                <w:rFonts w:cs="Times New Roman"/>
              </w:rPr>
              <w:t xml:space="preserve">zaštite kojima je pružena </w:t>
            </w:r>
          </w:p>
          <w:p w:rsidR="00A46866" w:rsidRDefault="00F51091">
            <w:pPr>
              <w:pStyle w:val="CellColumn"/>
              <w:jc w:val="left"/>
            </w:pPr>
            <w:r>
              <w:rPr>
                <w:rFonts w:cs="Times New Roman"/>
              </w:rPr>
              <w:t xml:space="preserve">potpora kroz aktivnosti </w:t>
            </w:r>
          </w:p>
          <w:p w:rsidR="00A46866" w:rsidRDefault="00F51091">
            <w:pPr>
              <w:pStyle w:val="CellColumn"/>
              <w:jc w:val="left"/>
            </w:pPr>
            <w:r>
              <w:rPr>
                <w:rFonts w:cs="Times New Roman"/>
              </w:rPr>
              <w:t xml:space="preserve">Fonda doći će do jačanja </w:t>
            </w:r>
          </w:p>
          <w:p w:rsidR="00A46866" w:rsidRDefault="00F51091">
            <w:pPr>
              <w:pStyle w:val="CellColumn"/>
              <w:jc w:val="left"/>
            </w:pPr>
            <w:r>
              <w:rPr>
                <w:rFonts w:cs="Times New Roman"/>
              </w:rPr>
              <w:t xml:space="preserve">zajedničkog europskog </w:t>
            </w:r>
          </w:p>
          <w:p w:rsidR="00A46866" w:rsidRDefault="00F51091">
            <w:pPr>
              <w:pStyle w:val="CellColumn"/>
              <w:jc w:val="left"/>
            </w:pPr>
            <w:r>
              <w:rPr>
                <w:rFonts w:cs="Times New Roman"/>
              </w:rPr>
              <w:t xml:space="preserve">sustava azila, zatim do </w:t>
            </w:r>
          </w:p>
          <w:p w:rsidR="00A46866" w:rsidRDefault="00F51091">
            <w:pPr>
              <w:pStyle w:val="CellColumn"/>
              <w:jc w:val="left"/>
            </w:pPr>
            <w:r>
              <w:rPr>
                <w:rFonts w:cs="Times New Roman"/>
              </w:rPr>
              <w:t xml:space="preserve">povećanog povrata </w:t>
            </w:r>
          </w:p>
          <w:p w:rsidR="00A46866" w:rsidRDefault="00F51091">
            <w:pPr>
              <w:pStyle w:val="CellColumn"/>
              <w:jc w:val="left"/>
            </w:pPr>
            <w:r>
              <w:rPr>
                <w:rFonts w:cs="Times New Roman"/>
              </w:rPr>
              <w:t xml:space="preserve">državljana trećih zemalja </w:t>
            </w:r>
          </w:p>
          <w:p w:rsidR="00A46866" w:rsidRDefault="00F51091">
            <w:pPr>
              <w:pStyle w:val="CellColumn"/>
              <w:jc w:val="left"/>
            </w:pPr>
            <w:r>
              <w:rPr>
                <w:rFonts w:cs="Times New Roman"/>
              </w:rPr>
              <w:t xml:space="preserve">kao i do podupiranja </w:t>
            </w:r>
          </w:p>
          <w:p w:rsidR="00A46866" w:rsidRDefault="00F51091">
            <w:pPr>
              <w:pStyle w:val="CellColumn"/>
              <w:jc w:val="left"/>
            </w:pPr>
            <w:r>
              <w:rPr>
                <w:rFonts w:cs="Times New Roman"/>
              </w:rPr>
              <w:t xml:space="preserve">zakonitih migracija u </w:t>
            </w:r>
          </w:p>
          <w:p w:rsidR="00A46866" w:rsidRDefault="00F51091">
            <w:pPr>
              <w:pStyle w:val="CellColumn"/>
              <w:jc w:val="left"/>
            </w:pPr>
            <w:r>
              <w:rPr>
                <w:rFonts w:cs="Times New Roman"/>
              </w:rPr>
              <w:t>države članice EU.</w:t>
            </w:r>
          </w:p>
        </w:tc>
        <w:tc>
          <w:tcPr>
            <w:tcW w:w="918" w:type="dxa"/>
          </w:tcPr>
          <w:p w:rsidR="00A46866" w:rsidRDefault="00F51091">
            <w:pPr>
              <w:jc w:val="center"/>
            </w:pPr>
            <w:r>
              <w:t>Broj</w:t>
            </w:r>
          </w:p>
        </w:tc>
        <w:tc>
          <w:tcPr>
            <w:tcW w:w="918" w:type="dxa"/>
          </w:tcPr>
          <w:p w:rsidR="00A46866" w:rsidRDefault="00F51091">
            <w:pPr>
              <w:jc w:val="center"/>
            </w:pPr>
            <w:r>
              <w:t>1068</w:t>
            </w:r>
          </w:p>
        </w:tc>
        <w:tc>
          <w:tcPr>
            <w:tcW w:w="918" w:type="dxa"/>
          </w:tcPr>
          <w:p w:rsidR="00A46866" w:rsidRDefault="00F51091">
            <w:pPr>
              <w:pStyle w:val="CellColumn"/>
              <w:jc w:val="center"/>
            </w:pPr>
            <w:r>
              <w:rPr>
                <w:rFonts w:cs="Times New Roman"/>
              </w:rPr>
              <w:t>MUP</w:t>
            </w:r>
          </w:p>
        </w:tc>
        <w:tc>
          <w:tcPr>
            <w:tcW w:w="918" w:type="dxa"/>
          </w:tcPr>
          <w:p w:rsidR="00A46866" w:rsidRDefault="00F51091">
            <w:pPr>
              <w:jc w:val="center"/>
            </w:pPr>
            <w:r>
              <w:t>4000</w:t>
            </w:r>
          </w:p>
        </w:tc>
        <w:tc>
          <w:tcPr>
            <w:tcW w:w="918" w:type="dxa"/>
          </w:tcPr>
          <w:p w:rsidR="00A46866" w:rsidRDefault="00F51091">
            <w:pPr>
              <w:jc w:val="center"/>
            </w:pPr>
            <w:r>
              <w:t>4000</w:t>
            </w:r>
          </w:p>
        </w:tc>
        <w:tc>
          <w:tcPr>
            <w:tcW w:w="918" w:type="dxa"/>
          </w:tcPr>
          <w:p w:rsidR="00A46866" w:rsidRDefault="00F51091">
            <w:pPr>
              <w:jc w:val="center"/>
            </w:pPr>
            <w:r>
              <w:t>4000</w:t>
            </w:r>
          </w:p>
        </w:tc>
      </w:tr>
    </w:tbl>
    <w:p w:rsidR="00A46866" w:rsidRDefault="00A46866">
      <w:pPr>
        <w:jc w:val="left"/>
      </w:pPr>
    </w:p>
    <w:p w:rsidR="00A46866" w:rsidRDefault="00F51091">
      <w:pPr>
        <w:pStyle w:val="Naslov4"/>
      </w:pPr>
      <w:r>
        <w:t>K863030 PROJEKTI SLUŽBI SIGURNOSTI - PROGRAM KONKURENTNOST I KOHEZIJA 2021.-2027. - MUP</w:t>
      </w:r>
    </w:p>
    <w:p w:rsidR="00A46866" w:rsidRDefault="00F51091">
      <w:pPr>
        <w:pStyle w:val="Naslov8"/>
        <w:jc w:val="left"/>
      </w:pPr>
      <w:r>
        <w:t>Zakonske i druge pravne osnove</w:t>
      </w:r>
    </w:p>
    <w:p w:rsidR="00A46866" w:rsidRDefault="00F51091">
      <w:r>
        <w:t>Partnership Agreement - Article 10(6), 2021HR16FFPA001, Partnership Agreement - Republic of Croatia, C(2022)5960, 24-Aug-2022, HR-Program Konkurentnost i kohezija 2021.-2027.,2021, HR16FFPR001, C(2022)8143, 19.11.2022.</w:t>
      </w:r>
    </w:p>
    <w:tbl>
      <w:tblPr>
        <w:tblStyle w:val="StilTablice"/>
        <w:tblW w:w="10206" w:type="dxa"/>
        <w:jc w:val="center"/>
        <w:tblLook w:val="04A0" w:firstRow="1" w:lastRow="0" w:firstColumn="1" w:lastColumn="0" w:noHBand="0" w:noVBand="1"/>
      </w:tblPr>
      <w:tblGrid>
        <w:gridCol w:w="1469"/>
        <w:gridCol w:w="1558"/>
        <w:gridCol w:w="1531"/>
        <w:gridCol w:w="1550"/>
        <w:gridCol w:w="1564"/>
        <w:gridCol w:w="1564"/>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K863030</w:t>
            </w:r>
          </w:p>
        </w:tc>
        <w:tc>
          <w:tcPr>
            <w:tcW w:w="1632" w:type="dxa"/>
            <w:vAlign w:val="top"/>
          </w:tcPr>
          <w:p w:rsidR="00A46866" w:rsidRDefault="00F51091">
            <w:pPr>
              <w:jc w:val="right"/>
            </w:pPr>
            <w:r>
              <w:t>00</w:t>
            </w:r>
          </w:p>
        </w:tc>
        <w:tc>
          <w:tcPr>
            <w:tcW w:w="1632" w:type="dxa"/>
            <w:vAlign w:val="top"/>
          </w:tcPr>
          <w:p w:rsidR="00A46866" w:rsidRDefault="00F51091">
            <w:pPr>
              <w:jc w:val="right"/>
            </w:pPr>
            <w:r>
              <w:t>00</w:t>
            </w:r>
          </w:p>
        </w:tc>
        <w:tc>
          <w:tcPr>
            <w:tcW w:w="1632" w:type="dxa"/>
            <w:vAlign w:val="top"/>
          </w:tcPr>
          <w:p w:rsidR="00A46866" w:rsidRDefault="00F51091">
            <w:pPr>
              <w:jc w:val="right"/>
            </w:pPr>
            <w:r>
              <w:t>200.000</w:t>
            </w:r>
          </w:p>
        </w:tc>
        <w:tc>
          <w:tcPr>
            <w:tcW w:w="1632" w:type="dxa"/>
            <w:vAlign w:val="top"/>
          </w:tcPr>
          <w:p w:rsidR="00A46866" w:rsidRDefault="00F51091">
            <w:pPr>
              <w:jc w:val="right"/>
            </w:pPr>
            <w:r>
              <w:t>5.210.000</w:t>
            </w:r>
          </w:p>
        </w:tc>
        <w:tc>
          <w:tcPr>
            <w:tcW w:w="1632" w:type="dxa"/>
            <w:vAlign w:val="top"/>
          </w:tcPr>
          <w:p w:rsidR="00A46866" w:rsidRDefault="00F51091">
            <w:pPr>
              <w:jc w:val="right"/>
            </w:pPr>
            <w:r>
              <w:t>3.650.000</w:t>
            </w:r>
          </w:p>
        </w:tc>
        <w:tc>
          <w:tcPr>
            <w:tcW w:w="510" w:type="dxa"/>
            <w:vAlign w:val="top"/>
          </w:tcPr>
          <w:p w:rsidR="00A46866" w:rsidRDefault="00F51091">
            <w:pPr>
              <w:jc w:val="right"/>
            </w:pPr>
            <w:r>
              <w:t>0,0</w:t>
            </w:r>
          </w:p>
        </w:tc>
      </w:tr>
    </w:tbl>
    <w:p w:rsidR="00A46866" w:rsidRDefault="00A46866">
      <w:pPr>
        <w:jc w:val="left"/>
      </w:pPr>
    </w:p>
    <w:p w:rsidR="00A46866" w:rsidRDefault="00F51091">
      <w:r>
        <w:t>Jačanje institucionalnih kapaciteta za čišćenje vodenih površina (kopnenih voda, mora i podmorja) onečišćenih minsko-eksplozivnim sredstvima (ronilački centar Specijalne policije Mali Lošinj). Aktivnosti koje će doprinijeti smanjenju zagađenja vodenih površina uklanjanjem mina i neeksplodiranih ubojnih sredstava. Za stručno usavršavanje zaposlenika planirano je 30.000 eur / 15% za 2024.g. 780.000 eur / 15% za 2025.g. te 460.000 eur / 12,6% za 2026.g. Za opremu za održavanje i zaštitu planirano je 170.000 eur / 85% za 2024.g., 4.430.000 eur / 85% za 2025.g. te 3.190.000 eur / 87,4% za 2026.g.</w:t>
      </w:r>
    </w:p>
    <w:p w:rsidR="00A46866" w:rsidRDefault="00F51091">
      <w:pPr>
        <w:pStyle w:val="Naslov4"/>
      </w:pPr>
      <w:r>
        <w:t>K879020 PROJEKTI IZ NACIONALNOG PLANA OPORAVKA I OTPORNOSTI - MUP - NPOO</w:t>
      </w:r>
    </w:p>
    <w:p w:rsidR="00A46866" w:rsidRDefault="00F51091">
      <w:pPr>
        <w:pStyle w:val="Naslov8"/>
        <w:jc w:val="left"/>
      </w:pPr>
      <w:r>
        <w:t>Zakonske i druge pravne osnove</w:t>
      </w:r>
    </w:p>
    <w:p w:rsidR="00A46866" w:rsidRDefault="00F51091">
      <w:r>
        <w:t>Nacionalni plan oporavka i otpornosti koji je Vlada donijela 30. travnja 2021. godine.</w:t>
      </w:r>
    </w:p>
    <w:tbl>
      <w:tblPr>
        <w:tblStyle w:val="StilTablice"/>
        <w:tblW w:w="10206" w:type="dxa"/>
        <w:jc w:val="center"/>
        <w:tblLook w:val="04A0" w:firstRow="1" w:lastRow="0" w:firstColumn="1" w:lastColumn="0" w:noHBand="0" w:noVBand="1"/>
      </w:tblPr>
      <w:tblGrid>
        <w:gridCol w:w="1469"/>
        <w:gridCol w:w="1558"/>
        <w:gridCol w:w="1564"/>
        <w:gridCol w:w="1564"/>
        <w:gridCol w:w="1550"/>
        <w:gridCol w:w="1531"/>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K879020</w:t>
            </w:r>
          </w:p>
        </w:tc>
        <w:tc>
          <w:tcPr>
            <w:tcW w:w="1632" w:type="dxa"/>
            <w:vAlign w:val="top"/>
          </w:tcPr>
          <w:p w:rsidR="00A46866" w:rsidRDefault="00F51091">
            <w:pPr>
              <w:jc w:val="right"/>
            </w:pPr>
            <w:r>
              <w:t>46.497</w:t>
            </w:r>
          </w:p>
        </w:tc>
        <w:tc>
          <w:tcPr>
            <w:tcW w:w="1632" w:type="dxa"/>
            <w:vAlign w:val="top"/>
          </w:tcPr>
          <w:p w:rsidR="00A46866" w:rsidRDefault="00F51091">
            <w:pPr>
              <w:jc w:val="right"/>
            </w:pPr>
            <w:r>
              <w:t>7.473.000</w:t>
            </w:r>
          </w:p>
        </w:tc>
        <w:tc>
          <w:tcPr>
            <w:tcW w:w="1632" w:type="dxa"/>
            <w:vAlign w:val="top"/>
          </w:tcPr>
          <w:p w:rsidR="00A46866" w:rsidRDefault="00F51091">
            <w:pPr>
              <w:jc w:val="right"/>
            </w:pPr>
            <w:r>
              <w:t>1.699.000</w:t>
            </w:r>
          </w:p>
        </w:tc>
        <w:tc>
          <w:tcPr>
            <w:tcW w:w="1632" w:type="dxa"/>
            <w:vAlign w:val="top"/>
          </w:tcPr>
          <w:p w:rsidR="00A46866" w:rsidRDefault="00F51091">
            <w:pPr>
              <w:jc w:val="right"/>
            </w:pPr>
            <w:r>
              <w:t>879.000</w:t>
            </w:r>
          </w:p>
        </w:tc>
        <w:tc>
          <w:tcPr>
            <w:tcW w:w="1632" w:type="dxa"/>
            <w:vAlign w:val="top"/>
          </w:tcPr>
          <w:p w:rsidR="00A46866" w:rsidRDefault="00F51091">
            <w:pPr>
              <w:jc w:val="right"/>
            </w:pPr>
            <w:r>
              <w:t>00</w:t>
            </w:r>
          </w:p>
        </w:tc>
        <w:tc>
          <w:tcPr>
            <w:tcW w:w="510" w:type="dxa"/>
            <w:vAlign w:val="top"/>
          </w:tcPr>
          <w:p w:rsidR="00A46866" w:rsidRDefault="00F51091">
            <w:pPr>
              <w:jc w:val="right"/>
            </w:pPr>
            <w:r>
              <w:t>22,7</w:t>
            </w:r>
          </w:p>
        </w:tc>
      </w:tr>
    </w:tbl>
    <w:p w:rsidR="00A46866" w:rsidRDefault="00A46866">
      <w:pPr>
        <w:jc w:val="left"/>
      </w:pPr>
    </w:p>
    <w:p w:rsidR="00A46866" w:rsidRDefault="00F51091">
      <w:r>
        <w:t xml:space="preserve">U Nacionalnom planu oporavka i otpornosti MUP je nominirao projekte iz dvije komponente: komponenta javna </w:t>
      </w:r>
    </w:p>
    <w:p w:rsidR="00A46866" w:rsidRDefault="00F51091">
      <w:r>
        <w:t xml:space="preserve">uprava, pravosuđe i državna imovina - digitalna tranzicija društva i gospodarstva - podrška postizanju ciljeva </w:t>
      </w:r>
    </w:p>
    <w:p w:rsidR="00A46866" w:rsidRDefault="00F51091">
      <w:r>
        <w:t xml:space="preserve">strategije sprječavanja korupcije i komponenta obrazovanje, znanost i istraživanje - reforma obrazovnog sustava. </w:t>
      </w:r>
    </w:p>
    <w:p w:rsidR="00A46866" w:rsidRDefault="00F51091">
      <w:r>
        <w:t xml:space="preserve">Kroz projekt su planirana sredstva u 2024. godini za usluge edukacije i upravljanja projektom u iznosu od 390.000 </w:t>
      </w:r>
    </w:p>
    <w:p w:rsidR="00A46866" w:rsidRDefault="00F51091">
      <w:r>
        <w:lastRenderedPageBreak/>
        <w:t>eur / 23%, za uredsku opremu i namještaj planirano je 1.309.000 eur / 77%. U 2025. godini su planirana sredstva za uslugu edukacije i upravljanja projektom u iznosu od 702.000 eur / 80% te za uredsku opremu i namještaj planirano je 177.000 eur / 20%.</w:t>
      </w:r>
    </w:p>
    <w:p w:rsidR="00A46866" w:rsidRDefault="00F51091">
      <w:pPr>
        <w:pStyle w:val="Naslov4"/>
      </w:pPr>
      <w:r>
        <w:t>K879023 FOND ZA AZIL, MIGRACIJE I INTEGRACIJU 2021.-2027.</w:t>
      </w:r>
    </w:p>
    <w:p w:rsidR="00A46866" w:rsidRDefault="00F51091">
      <w:pPr>
        <w:pStyle w:val="Naslov8"/>
        <w:jc w:val="left"/>
      </w:pPr>
      <w:r>
        <w:t>Zakonske i druge pravne osnove</w:t>
      </w:r>
    </w:p>
    <w:p w:rsidR="00A46866" w:rsidRDefault="00F51091">
      <w:r>
        <w:t xml:space="preserve">Uredba (EU) 2021/1147 Europskog parlamenta i Vijeća od 7. srpnja 2021. o uspostavi Fonda za azil, migracije i </w:t>
      </w:r>
    </w:p>
    <w:p w:rsidR="00A46866" w:rsidRDefault="00F51091">
      <w:r>
        <w:t>integraciju.</w:t>
      </w:r>
    </w:p>
    <w:tbl>
      <w:tblPr>
        <w:tblStyle w:val="StilTablice"/>
        <w:tblW w:w="10206" w:type="dxa"/>
        <w:jc w:val="center"/>
        <w:tblLook w:val="04A0" w:firstRow="1" w:lastRow="0" w:firstColumn="1" w:lastColumn="0" w:noHBand="0" w:noVBand="1"/>
      </w:tblPr>
      <w:tblGrid>
        <w:gridCol w:w="1461"/>
        <w:gridCol w:w="1545"/>
        <w:gridCol w:w="1552"/>
        <w:gridCol w:w="1552"/>
        <w:gridCol w:w="1563"/>
        <w:gridCol w:w="1563"/>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K879023</w:t>
            </w:r>
          </w:p>
        </w:tc>
        <w:tc>
          <w:tcPr>
            <w:tcW w:w="1632" w:type="dxa"/>
            <w:vAlign w:val="top"/>
          </w:tcPr>
          <w:p w:rsidR="00A46866" w:rsidRDefault="00F51091">
            <w:pPr>
              <w:jc w:val="right"/>
            </w:pPr>
            <w:r>
              <w:t>00</w:t>
            </w:r>
          </w:p>
        </w:tc>
        <w:tc>
          <w:tcPr>
            <w:tcW w:w="1632" w:type="dxa"/>
            <w:vAlign w:val="top"/>
          </w:tcPr>
          <w:p w:rsidR="00A46866" w:rsidRDefault="00F51091">
            <w:pPr>
              <w:jc w:val="right"/>
            </w:pPr>
            <w:r>
              <w:t>1.123.000</w:t>
            </w:r>
          </w:p>
        </w:tc>
        <w:tc>
          <w:tcPr>
            <w:tcW w:w="1632" w:type="dxa"/>
            <w:vAlign w:val="top"/>
          </w:tcPr>
          <w:p w:rsidR="00A46866" w:rsidRDefault="00F51091">
            <w:pPr>
              <w:jc w:val="right"/>
            </w:pPr>
            <w:r>
              <w:t>6.813.000</w:t>
            </w:r>
          </w:p>
        </w:tc>
        <w:tc>
          <w:tcPr>
            <w:tcW w:w="1632" w:type="dxa"/>
            <w:vAlign w:val="top"/>
          </w:tcPr>
          <w:p w:rsidR="00A46866" w:rsidRDefault="00F51091">
            <w:pPr>
              <w:jc w:val="right"/>
            </w:pPr>
            <w:r>
              <w:t>12.600.000</w:t>
            </w:r>
          </w:p>
        </w:tc>
        <w:tc>
          <w:tcPr>
            <w:tcW w:w="1632" w:type="dxa"/>
            <w:vAlign w:val="top"/>
          </w:tcPr>
          <w:p w:rsidR="00A46866" w:rsidRDefault="00F51091">
            <w:pPr>
              <w:jc w:val="right"/>
            </w:pPr>
            <w:r>
              <w:t>13.300.000</w:t>
            </w:r>
          </w:p>
        </w:tc>
        <w:tc>
          <w:tcPr>
            <w:tcW w:w="510" w:type="dxa"/>
            <w:vAlign w:val="top"/>
          </w:tcPr>
          <w:p w:rsidR="00A46866" w:rsidRDefault="00F51091">
            <w:pPr>
              <w:jc w:val="right"/>
            </w:pPr>
            <w:r>
              <w:t>606,7</w:t>
            </w:r>
          </w:p>
        </w:tc>
      </w:tr>
    </w:tbl>
    <w:p w:rsidR="00A46866" w:rsidRDefault="00A46866">
      <w:pPr>
        <w:jc w:val="left"/>
      </w:pPr>
    </w:p>
    <w:p w:rsidR="00A46866" w:rsidRDefault="00F51091">
      <w:r>
        <w:t xml:space="preserve">Projekt je usmjeren jačanju i razvoju svih aspekata Zajedničkog europskog sustava azila, zatim jačanju solidarnosti </w:t>
      </w:r>
    </w:p>
    <w:p w:rsidR="00A46866" w:rsidRDefault="00F51091">
      <w:r>
        <w:t xml:space="preserve">i dijeljenja odgovornosti između država članica, kao i jačanju pravednih i djelotvornih strategija povratka u </w:t>
      </w:r>
    </w:p>
    <w:p w:rsidR="00A46866" w:rsidRDefault="00F51091">
      <w:r>
        <w:t xml:space="preserve">državama članicama koje doprinose suzbijanju nezakonitog useljavanja. </w:t>
      </w:r>
    </w:p>
    <w:p w:rsidR="00A46866" w:rsidRDefault="00F51091">
      <w:r>
        <w:t xml:space="preserve">Od 2023. godine je kreno novi Višegodišnji financijski okvir za razdoblje od 2021. do 2027. godine. U financijskim planu za razdoblje 2024. - 2026. godinu predviđena su financijska sredstva od strane Odgovornog tijela, a koja će se odnositi na naredni Višegodišnji financijski okvir. Trenutno su planirana 3 potprojekta:  </w:t>
      </w:r>
    </w:p>
    <w:p w:rsidR="00A46866" w:rsidRDefault="00F51091">
      <w:r>
        <w:t xml:space="preserve"> 1. Održavanje sustava Evidencija određenih stranaca (EOS) informacijskog sustava MUP-a kojom će se osigurati implementacija Zakona o strancima i Zakona o međunarodnoj i privremenoj zaštiti (vrijednost 0,8 mil eur – u 2024. se planiraju plaćanja u iznosu od 20% vrijednosti potprojekta, u 2025. 20% i u 2026. 10%), 2. Razvoj sustava Evidencija određenih stranaca (EOS) Informacijskog sustava MUP-a kojom će se osigurati implementacija Zakona o strancima i Zakona o međunarodnoj i privremenoj zaštiti te razmjena podataka s EU sustavima (vrijednost 1,25 mil. eur – u 2024. godini se planiraju plaćanja u iznosu od 20% vrijednosti potprojekta, u 2025. 20% i u 2026. 10%), 3. Pružanje podrške i pomoći tražiteljima međunarodne zaštite u svakodnevnom životu putem pružanja psihosocijalnih i drugih usluga, razvijenih u skladu s njihovim potrebama (vrijednost 2,73 mil eur – u 2024. godini se planiraju plaćanja u iznosu od 30% vrijednosti potprojekta, u 2025. 40% i u 2026. 30%).</w:t>
      </w:r>
    </w:p>
    <w:p w:rsidR="00A46866" w:rsidRDefault="00F51091">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46866">
        <w:trPr>
          <w:jc w:val="center"/>
        </w:trPr>
        <w:tc>
          <w:tcPr>
            <w:tcW w:w="2245" w:type="dxa"/>
            <w:shd w:val="clear" w:color="auto" w:fill="B5C0D8"/>
          </w:tcPr>
          <w:p w:rsidR="00A46866" w:rsidRDefault="00F51091">
            <w:pPr>
              <w:jc w:val="center"/>
            </w:pPr>
            <w:r>
              <w:t>Pokazatelj rezultata</w:t>
            </w:r>
          </w:p>
        </w:tc>
        <w:tc>
          <w:tcPr>
            <w:tcW w:w="2245" w:type="dxa"/>
            <w:shd w:val="clear" w:color="auto" w:fill="B5C0D8"/>
          </w:tcPr>
          <w:p w:rsidR="00A46866" w:rsidRDefault="00F51091">
            <w:pPr>
              <w:pStyle w:val="CellHeader"/>
              <w:jc w:val="center"/>
            </w:pPr>
            <w:r>
              <w:rPr>
                <w:rFonts w:cs="Times New Roman"/>
              </w:rPr>
              <w:t>Definicija</w:t>
            </w:r>
          </w:p>
        </w:tc>
        <w:tc>
          <w:tcPr>
            <w:tcW w:w="918" w:type="dxa"/>
            <w:shd w:val="clear" w:color="auto" w:fill="B5C0D8"/>
          </w:tcPr>
          <w:p w:rsidR="00A46866" w:rsidRDefault="00F51091">
            <w:pPr>
              <w:pStyle w:val="CellHeader"/>
              <w:jc w:val="center"/>
            </w:pPr>
            <w:r>
              <w:rPr>
                <w:rFonts w:cs="Times New Roman"/>
              </w:rPr>
              <w:t>Jedinica</w:t>
            </w:r>
          </w:p>
        </w:tc>
        <w:tc>
          <w:tcPr>
            <w:tcW w:w="918" w:type="dxa"/>
            <w:shd w:val="clear" w:color="auto" w:fill="B5C0D8"/>
          </w:tcPr>
          <w:p w:rsidR="00A46866" w:rsidRDefault="00F51091">
            <w:pPr>
              <w:pStyle w:val="CellHeader"/>
              <w:jc w:val="center"/>
            </w:pPr>
            <w:r>
              <w:rPr>
                <w:rFonts w:cs="Times New Roman"/>
              </w:rPr>
              <w:t>Polazna vrijednost</w:t>
            </w:r>
          </w:p>
        </w:tc>
        <w:tc>
          <w:tcPr>
            <w:tcW w:w="918" w:type="dxa"/>
            <w:shd w:val="clear" w:color="auto" w:fill="B5C0D8"/>
          </w:tcPr>
          <w:p w:rsidR="00A46866" w:rsidRDefault="00F51091">
            <w:pPr>
              <w:pStyle w:val="CellHeader"/>
              <w:jc w:val="center"/>
            </w:pPr>
            <w:r>
              <w:rPr>
                <w:rFonts w:cs="Times New Roman"/>
              </w:rPr>
              <w:t>Izvor podataka</w:t>
            </w:r>
          </w:p>
        </w:tc>
        <w:tc>
          <w:tcPr>
            <w:tcW w:w="918" w:type="dxa"/>
            <w:shd w:val="clear" w:color="auto" w:fill="B5C0D8"/>
          </w:tcPr>
          <w:p w:rsidR="00A46866" w:rsidRDefault="00F51091">
            <w:pPr>
              <w:pStyle w:val="CellHeader"/>
              <w:jc w:val="center"/>
            </w:pPr>
            <w:r>
              <w:rPr>
                <w:rFonts w:cs="Times New Roman"/>
              </w:rPr>
              <w:t>Ciljana vrijednost (2024.)</w:t>
            </w:r>
          </w:p>
        </w:tc>
        <w:tc>
          <w:tcPr>
            <w:tcW w:w="918" w:type="dxa"/>
            <w:shd w:val="clear" w:color="auto" w:fill="B5C0D8"/>
          </w:tcPr>
          <w:p w:rsidR="00A46866" w:rsidRDefault="00F51091">
            <w:pPr>
              <w:pStyle w:val="CellHeader"/>
              <w:jc w:val="center"/>
            </w:pPr>
            <w:r>
              <w:rPr>
                <w:rFonts w:cs="Times New Roman"/>
              </w:rPr>
              <w:t>Ciljana vrijednost (2025.)</w:t>
            </w:r>
          </w:p>
        </w:tc>
        <w:tc>
          <w:tcPr>
            <w:tcW w:w="918" w:type="dxa"/>
            <w:shd w:val="clear" w:color="auto" w:fill="B5C0D8"/>
          </w:tcPr>
          <w:p w:rsidR="00A46866" w:rsidRDefault="00F51091">
            <w:pPr>
              <w:pStyle w:val="CellHeader"/>
              <w:jc w:val="center"/>
            </w:pPr>
            <w:r>
              <w:rPr>
                <w:rFonts w:cs="Times New Roman"/>
              </w:rPr>
              <w:t>Ciljana vrijednost (2026.)</w:t>
            </w:r>
          </w:p>
        </w:tc>
      </w:tr>
      <w:tr w:rsidR="00A46866">
        <w:trPr>
          <w:jc w:val="center"/>
        </w:trPr>
        <w:tc>
          <w:tcPr>
            <w:tcW w:w="2245" w:type="dxa"/>
            <w:vAlign w:val="top"/>
          </w:tcPr>
          <w:p w:rsidR="00A46866" w:rsidRDefault="00F51091">
            <w:pPr>
              <w:pStyle w:val="CellColumn"/>
              <w:jc w:val="left"/>
            </w:pPr>
            <w:r>
              <w:rPr>
                <w:rFonts w:cs="Times New Roman"/>
              </w:rPr>
              <w:t>Realizacija ugovora.</w:t>
            </w:r>
          </w:p>
        </w:tc>
        <w:tc>
          <w:tcPr>
            <w:tcW w:w="2245" w:type="dxa"/>
            <w:vAlign w:val="top"/>
          </w:tcPr>
          <w:p w:rsidR="00A46866" w:rsidRDefault="00F51091">
            <w:pPr>
              <w:pStyle w:val="CellColumn"/>
              <w:jc w:val="left"/>
            </w:pPr>
            <w:r>
              <w:rPr>
                <w:rFonts w:cs="Times New Roman"/>
              </w:rPr>
              <w:t>Realizacija obveza iz sklopljenih ugovora.</w:t>
            </w:r>
          </w:p>
        </w:tc>
        <w:tc>
          <w:tcPr>
            <w:tcW w:w="918" w:type="dxa"/>
          </w:tcPr>
          <w:p w:rsidR="00A46866" w:rsidRDefault="00F51091">
            <w:pPr>
              <w:jc w:val="center"/>
            </w:pPr>
            <w:r>
              <w:t>%</w:t>
            </w:r>
          </w:p>
        </w:tc>
        <w:tc>
          <w:tcPr>
            <w:tcW w:w="918" w:type="dxa"/>
          </w:tcPr>
          <w:p w:rsidR="00A46866" w:rsidRDefault="00F51091">
            <w:pPr>
              <w:jc w:val="center"/>
            </w:pPr>
            <w:r>
              <w:t>0</w:t>
            </w:r>
          </w:p>
        </w:tc>
        <w:tc>
          <w:tcPr>
            <w:tcW w:w="918" w:type="dxa"/>
          </w:tcPr>
          <w:p w:rsidR="00A46866" w:rsidRDefault="00F51091">
            <w:pPr>
              <w:pStyle w:val="CellColumn"/>
              <w:jc w:val="center"/>
            </w:pPr>
            <w:r>
              <w:rPr>
                <w:rFonts w:cs="Times New Roman"/>
              </w:rPr>
              <w:t>MUP</w:t>
            </w:r>
          </w:p>
        </w:tc>
        <w:tc>
          <w:tcPr>
            <w:tcW w:w="918" w:type="dxa"/>
          </w:tcPr>
          <w:p w:rsidR="00A46866" w:rsidRDefault="00F51091">
            <w:pPr>
              <w:jc w:val="center"/>
            </w:pPr>
            <w:r>
              <w:t>30</w:t>
            </w:r>
          </w:p>
        </w:tc>
        <w:tc>
          <w:tcPr>
            <w:tcW w:w="918" w:type="dxa"/>
          </w:tcPr>
          <w:p w:rsidR="00A46866" w:rsidRDefault="00F51091">
            <w:pPr>
              <w:jc w:val="center"/>
            </w:pPr>
            <w:r>
              <w:t>60</w:t>
            </w:r>
          </w:p>
        </w:tc>
        <w:tc>
          <w:tcPr>
            <w:tcW w:w="918" w:type="dxa"/>
          </w:tcPr>
          <w:p w:rsidR="00A46866" w:rsidRDefault="00F51091">
            <w:pPr>
              <w:jc w:val="center"/>
            </w:pPr>
            <w:r>
              <w:t>100</w:t>
            </w:r>
          </w:p>
        </w:tc>
      </w:tr>
    </w:tbl>
    <w:p w:rsidR="00A46866" w:rsidRDefault="00A46866">
      <w:pPr>
        <w:jc w:val="left"/>
      </w:pPr>
    </w:p>
    <w:p w:rsidR="00A46866" w:rsidRDefault="00F51091">
      <w:pPr>
        <w:pStyle w:val="Naslov4"/>
      </w:pPr>
      <w:r>
        <w:t>T553155 IPA 2012 PODRŠKA U PODRUČJU KAZNENOG PROGONA U BOSNI I HERCEGOVINI</w:t>
      </w:r>
    </w:p>
    <w:p w:rsidR="00A46866" w:rsidRDefault="00F51091">
      <w:pPr>
        <w:pStyle w:val="Naslov8"/>
        <w:jc w:val="left"/>
      </w:pPr>
      <w:r>
        <w:t>Zakonske i druge pravne osnove</w:t>
      </w:r>
    </w:p>
    <w:p w:rsidR="00A46866" w:rsidRDefault="00F51091">
      <w:r>
        <w:t xml:space="preserve">Konzorcijski ugovor od 17.5.2016.g. između AEI (Agency for European Integration and Economic Development) i </w:t>
      </w:r>
    </w:p>
    <w:p w:rsidR="00A46866" w:rsidRDefault="00F51091">
      <w:r>
        <w:t xml:space="preserve">MUP-a kao mlađeg partnera na provedbi twining projekta (Twining number BA/12/IB/JH/02, Contract No. </w:t>
      </w:r>
    </w:p>
    <w:p w:rsidR="00A46866" w:rsidRDefault="00F51091">
      <w:r>
        <w:t>2016/375-750).</w:t>
      </w:r>
    </w:p>
    <w:tbl>
      <w:tblPr>
        <w:tblStyle w:val="StilTablice"/>
        <w:tblW w:w="10206" w:type="dxa"/>
        <w:jc w:val="center"/>
        <w:tblLook w:val="04A0" w:firstRow="1" w:lastRow="0" w:firstColumn="1" w:lastColumn="0" w:noHBand="0" w:noVBand="1"/>
      </w:tblPr>
      <w:tblGrid>
        <w:gridCol w:w="1477"/>
        <w:gridCol w:w="1567"/>
        <w:gridCol w:w="1552"/>
        <w:gridCol w:w="1552"/>
        <w:gridCol w:w="1544"/>
        <w:gridCol w:w="1544"/>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T553155</w:t>
            </w:r>
          </w:p>
        </w:tc>
        <w:tc>
          <w:tcPr>
            <w:tcW w:w="1632" w:type="dxa"/>
            <w:vAlign w:val="top"/>
          </w:tcPr>
          <w:p w:rsidR="00A46866" w:rsidRDefault="00F51091">
            <w:pPr>
              <w:jc w:val="right"/>
            </w:pPr>
            <w:r>
              <w:t>79.053</w:t>
            </w:r>
          </w:p>
        </w:tc>
        <w:tc>
          <w:tcPr>
            <w:tcW w:w="1632" w:type="dxa"/>
            <w:vAlign w:val="top"/>
          </w:tcPr>
          <w:p w:rsidR="00A46866" w:rsidRDefault="00F51091">
            <w:pPr>
              <w:jc w:val="right"/>
            </w:pPr>
            <w:r>
              <w:t>66.500</w:t>
            </w:r>
          </w:p>
        </w:tc>
        <w:tc>
          <w:tcPr>
            <w:tcW w:w="1632" w:type="dxa"/>
            <w:vAlign w:val="top"/>
          </w:tcPr>
          <w:p w:rsidR="00A46866" w:rsidRDefault="00F51091">
            <w:pPr>
              <w:jc w:val="right"/>
            </w:pPr>
            <w:r>
              <w:t>10.000</w:t>
            </w:r>
          </w:p>
        </w:tc>
        <w:tc>
          <w:tcPr>
            <w:tcW w:w="1632" w:type="dxa"/>
            <w:vAlign w:val="top"/>
          </w:tcPr>
          <w:p w:rsidR="00A46866" w:rsidRDefault="00F51091">
            <w:pPr>
              <w:jc w:val="right"/>
            </w:pPr>
            <w:r>
              <w:t>00</w:t>
            </w:r>
          </w:p>
        </w:tc>
        <w:tc>
          <w:tcPr>
            <w:tcW w:w="1632" w:type="dxa"/>
            <w:vAlign w:val="top"/>
          </w:tcPr>
          <w:p w:rsidR="00A46866" w:rsidRDefault="00F51091">
            <w:pPr>
              <w:jc w:val="right"/>
            </w:pPr>
            <w:r>
              <w:t>00</w:t>
            </w:r>
          </w:p>
        </w:tc>
        <w:tc>
          <w:tcPr>
            <w:tcW w:w="510" w:type="dxa"/>
            <w:vAlign w:val="top"/>
          </w:tcPr>
          <w:p w:rsidR="00A46866" w:rsidRDefault="00F51091">
            <w:pPr>
              <w:jc w:val="right"/>
            </w:pPr>
            <w:r>
              <w:t>15,0</w:t>
            </w:r>
          </w:p>
        </w:tc>
      </w:tr>
    </w:tbl>
    <w:p w:rsidR="00A46866" w:rsidRDefault="00A46866">
      <w:pPr>
        <w:jc w:val="left"/>
      </w:pPr>
    </w:p>
    <w:p w:rsidR="00A46866" w:rsidRDefault="00F51091">
      <w:r>
        <w:lastRenderedPageBreak/>
        <w:t>Ovaj projekt planiran je u 2024.g. ukupnom iznosu od 10.000 eur što se odnosi na indirektne troškove koji se planiraju utrošiti na troškove službenih putovanja.</w:t>
      </w:r>
    </w:p>
    <w:p w:rsidR="00A46866" w:rsidRDefault="00F51091">
      <w:pPr>
        <w:pStyle w:val="Naslov4"/>
      </w:pPr>
      <w:r>
        <w:t>T553157 HORIZON 2020 JAČANJE SURADNJE IZMEĐU POLICIJSKIH SLUŽBI I GRAĐANA - POLICIJA U ZAJEDNICI</w:t>
      </w:r>
    </w:p>
    <w:p w:rsidR="00A46866" w:rsidRDefault="00F51091">
      <w:pPr>
        <w:pStyle w:val="Naslov8"/>
        <w:jc w:val="left"/>
      </w:pPr>
      <w:r>
        <w:t>Zakonske i druge pravne osnove</w:t>
      </w:r>
    </w:p>
    <w:p w:rsidR="00A46866" w:rsidRDefault="00F51091">
      <w:r>
        <w:t xml:space="preserve">Konzorcijski ugovor broj: 653729 između POLICE AND CRIME COMMISSIONER FOR WEST YORKSHIRE i </w:t>
      </w:r>
    </w:p>
    <w:p w:rsidR="00A46866" w:rsidRDefault="00F51091">
      <w:r>
        <w:t>Policijske akademije.</w:t>
      </w:r>
    </w:p>
    <w:tbl>
      <w:tblPr>
        <w:tblStyle w:val="StilTablice"/>
        <w:tblW w:w="10206" w:type="dxa"/>
        <w:jc w:val="center"/>
        <w:tblLook w:val="04A0" w:firstRow="1" w:lastRow="0" w:firstColumn="1" w:lastColumn="0" w:noHBand="0" w:noVBand="1"/>
      </w:tblPr>
      <w:tblGrid>
        <w:gridCol w:w="1479"/>
        <w:gridCol w:w="1569"/>
        <w:gridCol w:w="1547"/>
        <w:gridCol w:w="1547"/>
        <w:gridCol w:w="1547"/>
        <w:gridCol w:w="1547"/>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T553157</w:t>
            </w:r>
          </w:p>
        </w:tc>
        <w:tc>
          <w:tcPr>
            <w:tcW w:w="1632" w:type="dxa"/>
            <w:vAlign w:val="top"/>
          </w:tcPr>
          <w:p w:rsidR="00A46866" w:rsidRDefault="00F51091">
            <w:pPr>
              <w:jc w:val="right"/>
            </w:pPr>
            <w:r>
              <w:t>498</w:t>
            </w:r>
          </w:p>
        </w:tc>
        <w:tc>
          <w:tcPr>
            <w:tcW w:w="1632" w:type="dxa"/>
            <w:vAlign w:val="top"/>
          </w:tcPr>
          <w:p w:rsidR="00A46866" w:rsidRDefault="00F51091">
            <w:pPr>
              <w:jc w:val="right"/>
            </w:pPr>
            <w:r>
              <w:t>1.000</w:t>
            </w:r>
          </w:p>
        </w:tc>
        <w:tc>
          <w:tcPr>
            <w:tcW w:w="1632" w:type="dxa"/>
            <w:vAlign w:val="top"/>
          </w:tcPr>
          <w:p w:rsidR="00A46866" w:rsidRDefault="00F51091">
            <w:pPr>
              <w:jc w:val="right"/>
            </w:pPr>
            <w:r>
              <w:t>2.000</w:t>
            </w:r>
          </w:p>
        </w:tc>
        <w:tc>
          <w:tcPr>
            <w:tcW w:w="1632" w:type="dxa"/>
            <w:vAlign w:val="top"/>
          </w:tcPr>
          <w:p w:rsidR="00A46866" w:rsidRDefault="00F51091">
            <w:pPr>
              <w:jc w:val="right"/>
            </w:pPr>
            <w:r>
              <w:t>00</w:t>
            </w:r>
          </w:p>
        </w:tc>
        <w:tc>
          <w:tcPr>
            <w:tcW w:w="1632" w:type="dxa"/>
            <w:vAlign w:val="top"/>
          </w:tcPr>
          <w:p w:rsidR="00A46866" w:rsidRDefault="00F51091">
            <w:pPr>
              <w:jc w:val="right"/>
            </w:pPr>
            <w:r>
              <w:t>00</w:t>
            </w:r>
          </w:p>
        </w:tc>
        <w:tc>
          <w:tcPr>
            <w:tcW w:w="510" w:type="dxa"/>
            <w:vAlign w:val="top"/>
          </w:tcPr>
          <w:p w:rsidR="00A46866" w:rsidRDefault="00F51091">
            <w:pPr>
              <w:jc w:val="right"/>
            </w:pPr>
            <w:r>
              <w:t>200,0</w:t>
            </w:r>
          </w:p>
        </w:tc>
      </w:tr>
    </w:tbl>
    <w:p w:rsidR="00A46866" w:rsidRDefault="00A46866">
      <w:pPr>
        <w:jc w:val="left"/>
      </w:pPr>
    </w:p>
    <w:p w:rsidR="00A46866" w:rsidRDefault="00F51091">
      <w:r>
        <w:t xml:space="preserve">Policijska akademija, koja je u sklopu Ministarstva unutarnjih poslova, se nominirala i dobila priliku sudjelovati u </w:t>
      </w:r>
    </w:p>
    <w:p w:rsidR="00A46866" w:rsidRDefault="00F51091">
      <w:r>
        <w:t xml:space="preserve">projektu "Jačanje suradnje između policijskih službi i građana - Policija u zajednici" u sklopu Programa Europske </w:t>
      </w:r>
    </w:p>
    <w:p w:rsidR="00A46866" w:rsidRDefault="00F51091">
      <w:r>
        <w:t xml:space="preserve">unije za istraživanje i razvoj za razdoblje od 2014. do 2020. godine pod nazivom UNITY HORIZON 2020. Cilj </w:t>
      </w:r>
    </w:p>
    <w:p w:rsidR="00A46866" w:rsidRDefault="00F51091">
      <w:r>
        <w:t xml:space="preserve">provođenja projekta je jačanje suradnje između policijskih službi i građana. Unity će kreirati novi pristup usmjeren </w:t>
      </w:r>
    </w:p>
    <w:p w:rsidR="00A46866" w:rsidRDefault="00F51091">
      <w:r>
        <w:t xml:space="preserve">na zajednicu za policiju u zajednici tako što će razviti nove alate, procedure i tehnologije, stavljajući građane u </w:t>
      </w:r>
    </w:p>
    <w:p w:rsidR="00A46866" w:rsidRDefault="00F51091">
      <w:r>
        <w:t xml:space="preserve">središte policijskih prioriteta te osigurati da građani budu sastavni dio održivih rješenja informiranja. Cilj je snimiti </w:t>
      </w:r>
    </w:p>
    <w:p w:rsidR="00A46866" w:rsidRDefault="00F51091">
      <w:r>
        <w:t xml:space="preserve">i usvojiti najbolje prakse za suradnju između policije i građana, razviti komunikacijske tehnologije kako bi se </w:t>
      </w:r>
    </w:p>
    <w:p w:rsidR="00A46866" w:rsidRDefault="00F51091">
      <w:r>
        <w:t xml:space="preserve">olakšala, ojačala i ubrzala komunikacija između građana i policije, kreirati, razviti i obučiti policijske službenike te </w:t>
      </w:r>
    </w:p>
    <w:p w:rsidR="00A46866" w:rsidRDefault="00F51091">
      <w:r>
        <w:t xml:space="preserve">razviti aktivnosti za podizanje svijesti o značaju policije u zajednici. Planirani iznos se odnosi na indirektne </w:t>
      </w:r>
    </w:p>
    <w:p w:rsidR="00A46866" w:rsidRDefault="00F51091">
      <w:r>
        <w:t>troškove projekta koji se planiraju utrošiti na službena putovanja prijevode knjiga, istraživanje i kotizacije za seminare.</w:t>
      </w:r>
    </w:p>
    <w:p w:rsidR="00A46866" w:rsidRDefault="00F51091">
      <w:pPr>
        <w:pStyle w:val="Naslov4"/>
      </w:pPr>
      <w:r>
        <w:t>T553174 OBZOR 2020</w:t>
      </w:r>
    </w:p>
    <w:p w:rsidR="00A46866" w:rsidRDefault="00F51091">
      <w:pPr>
        <w:pStyle w:val="Naslov8"/>
        <w:jc w:val="left"/>
      </w:pPr>
      <w:r>
        <w:t>Zakonske i druge pravne osnove</w:t>
      </w:r>
    </w:p>
    <w:p w:rsidR="00A46866" w:rsidRDefault="00F51091">
      <w:r>
        <w:t xml:space="preserve">Konzorcijski ugovori: Horizon 2020 Framework Programme Grant Agreement: 768805 - EXERTER, Grant Agreement </w:t>
      </w:r>
    </w:p>
    <w:p w:rsidR="00A46866" w:rsidRDefault="00F51091">
      <w:r>
        <w:t>number: 101021669 - CYCLOPES - H2020-SU-SEC-2018-2019-2020/H2020-SU-SEC-2020, 101021330 - INHERIT, Grant Agreement number: 101021866 - CRITERIA - H2020-SU-SEC-2018-2019-2020 / H20202-SU-SEC-2020.</w:t>
      </w:r>
    </w:p>
    <w:tbl>
      <w:tblPr>
        <w:tblStyle w:val="StilTablice"/>
        <w:tblW w:w="10206" w:type="dxa"/>
        <w:jc w:val="center"/>
        <w:tblLook w:val="04A0" w:firstRow="1" w:lastRow="0" w:firstColumn="1" w:lastColumn="0" w:noHBand="0" w:noVBand="1"/>
      </w:tblPr>
      <w:tblGrid>
        <w:gridCol w:w="1473"/>
        <w:gridCol w:w="1560"/>
        <w:gridCol w:w="1544"/>
        <w:gridCol w:w="1553"/>
        <w:gridCol w:w="1553"/>
        <w:gridCol w:w="1553"/>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T553174</w:t>
            </w:r>
          </w:p>
        </w:tc>
        <w:tc>
          <w:tcPr>
            <w:tcW w:w="1632" w:type="dxa"/>
            <w:vAlign w:val="top"/>
          </w:tcPr>
          <w:p w:rsidR="00A46866" w:rsidRDefault="00F51091">
            <w:pPr>
              <w:jc w:val="right"/>
            </w:pPr>
            <w:r>
              <w:t>57.308</w:t>
            </w:r>
          </w:p>
        </w:tc>
        <w:tc>
          <w:tcPr>
            <w:tcW w:w="1632" w:type="dxa"/>
            <w:vAlign w:val="top"/>
          </w:tcPr>
          <w:p w:rsidR="00A46866" w:rsidRDefault="00F51091">
            <w:pPr>
              <w:jc w:val="right"/>
            </w:pPr>
            <w:r>
              <w:t>38.000</w:t>
            </w:r>
          </w:p>
        </w:tc>
        <w:tc>
          <w:tcPr>
            <w:tcW w:w="1632" w:type="dxa"/>
            <w:vAlign w:val="top"/>
          </w:tcPr>
          <w:p w:rsidR="00A46866" w:rsidRDefault="00F51091">
            <w:pPr>
              <w:jc w:val="right"/>
            </w:pPr>
            <w:r>
              <w:t>200.000</w:t>
            </w:r>
          </w:p>
        </w:tc>
        <w:tc>
          <w:tcPr>
            <w:tcW w:w="1632" w:type="dxa"/>
            <w:vAlign w:val="top"/>
          </w:tcPr>
          <w:p w:rsidR="00A46866" w:rsidRDefault="00F51091">
            <w:pPr>
              <w:jc w:val="right"/>
            </w:pPr>
            <w:r>
              <w:t>200.000</w:t>
            </w:r>
          </w:p>
        </w:tc>
        <w:tc>
          <w:tcPr>
            <w:tcW w:w="1632" w:type="dxa"/>
            <w:vAlign w:val="top"/>
          </w:tcPr>
          <w:p w:rsidR="00A46866" w:rsidRDefault="00F51091">
            <w:pPr>
              <w:jc w:val="right"/>
            </w:pPr>
            <w:r>
              <w:t>200.000</w:t>
            </w:r>
          </w:p>
        </w:tc>
        <w:tc>
          <w:tcPr>
            <w:tcW w:w="510" w:type="dxa"/>
            <w:vAlign w:val="top"/>
          </w:tcPr>
          <w:p w:rsidR="00A46866" w:rsidRDefault="00F51091">
            <w:pPr>
              <w:jc w:val="right"/>
            </w:pPr>
            <w:r>
              <w:t>526,3</w:t>
            </w:r>
          </w:p>
        </w:tc>
      </w:tr>
    </w:tbl>
    <w:p w:rsidR="00A46866" w:rsidRDefault="00A46866">
      <w:pPr>
        <w:jc w:val="left"/>
      </w:pPr>
    </w:p>
    <w:p w:rsidR="00A46866" w:rsidRDefault="00F51091">
      <w:r>
        <w:t xml:space="preserve">Ministarstvo unutarnjih poslova provodi projekte u sklopu Programa Europske unije za istraživanje i razvoj za </w:t>
      </w:r>
    </w:p>
    <w:p w:rsidR="00A46866" w:rsidRDefault="00F51091">
      <w:r>
        <w:t xml:space="preserve">razdoblje od 2014. do 2020. godine pod nazivom OBZOR 2020. Za sve projekte tipa OBZOR 2020 nema </w:t>
      </w:r>
    </w:p>
    <w:p w:rsidR="00A46866" w:rsidRDefault="00F51091">
      <w:r>
        <w:t xml:space="preserve">sufinanciranja. </w:t>
      </w:r>
    </w:p>
    <w:p w:rsidR="00A46866" w:rsidRDefault="00F51091">
      <w:r>
        <w:t xml:space="preserve">U okviru predmetnog projekta provodit ćemo projekt EXERTER-Security of Explosives pan-European Specialists </w:t>
      </w:r>
    </w:p>
    <w:p w:rsidR="00A46866" w:rsidRDefault="00F51091">
      <w:r>
        <w:t xml:space="preserve">Network- u koji je uključena Protueksplozijska služba Uprave policije. To je međunarodni projekt u koji je </w:t>
      </w:r>
    </w:p>
    <w:p w:rsidR="00A46866" w:rsidRDefault="00F51091">
      <w:r>
        <w:t xml:space="preserve">uključeno 21 agencija, ministarstava i znanstvenih institucija iz 13 europskih zemalja. Nositelji projekta je švedski </w:t>
      </w:r>
    </w:p>
    <w:p w:rsidR="00A46866" w:rsidRDefault="00F51091">
      <w:r>
        <w:t xml:space="preserve">institut TOTALFORSVARETS FORSKNINGSINSTITUT. Navedeni projekt traje 5 godina i proračun mu je </w:t>
      </w:r>
    </w:p>
    <w:p w:rsidR="00A46866" w:rsidRDefault="00F51091">
      <w:r>
        <w:t xml:space="preserve">41.400 eura. EXERTER povezuje 21 stručnjaka iz 13 zemalja članica EU u mrežu specijaliziranim eksplozivima </w:t>
      </w:r>
    </w:p>
    <w:p w:rsidR="00A46866" w:rsidRDefault="00F51091">
      <w:r>
        <w:lastRenderedPageBreak/>
        <w:t xml:space="preserve">unutar područja sigurnosti eksploziva. Fokusirat će se na preispitivanje i unapređenje protumjera na terortističke </w:t>
      </w:r>
    </w:p>
    <w:p w:rsidR="00A46866" w:rsidRDefault="00F51091">
      <w:r>
        <w:t xml:space="preserve">napade, koje se nalaze unutar područja prevencije, detekcije, ublažavanja posljedica napada i reakcije nakon </w:t>
      </w:r>
    </w:p>
    <w:p w:rsidR="00A46866" w:rsidRDefault="00F51091">
      <w:r>
        <w:t xml:space="preserve">napada. Obradit će se sve faze reakcije nadležnih službi na potencijalni teroristički plan, utvrditi nedostaci i </w:t>
      </w:r>
    </w:p>
    <w:p w:rsidR="00A46866" w:rsidRDefault="00F51091">
      <w:r>
        <w:t xml:space="preserve">manjkavosti s kojima se službe za odgovor susreću na terenu. Projekt ima zadaću odgovoriti kako premostiti </w:t>
      </w:r>
    </w:p>
    <w:p w:rsidR="00A46866" w:rsidRDefault="00F51091">
      <w:r>
        <w:t xml:space="preserve">najčešće i najveće poteškoće na koje nailaze stručnjaci u odgovoru na teroristički napad. Cilj projekta je omogućiti </w:t>
      </w:r>
    </w:p>
    <w:p w:rsidR="00A46866" w:rsidRDefault="00F51091">
      <w:r>
        <w:t xml:space="preserve">stručnjacima koji se bave poslom vezanim uz sigurnost eksploziva nova i inovativna znanja o metodologijama, </w:t>
      </w:r>
    </w:p>
    <w:p w:rsidR="00A46866" w:rsidRDefault="00F51091">
      <w:r>
        <w:t xml:space="preserve">alatima i tehnologijama kako bi učinkovito poboljšali svoje operativne sposobnosti u borbi protiv terorizma i teškog </w:t>
      </w:r>
    </w:p>
    <w:p w:rsidR="00A46866" w:rsidRDefault="00F51091">
      <w:r>
        <w:t xml:space="preserve">kriminala. EXERTER mreža nastoji premostiti poteškoće stručnjacima za sigurnost za prikupljanje i korištenje </w:t>
      </w:r>
    </w:p>
    <w:p w:rsidR="00A46866" w:rsidRDefault="00F51091">
      <w:r>
        <w:t xml:space="preserve">rezultata istraživanja. Za projekt EXERTER smo u 2024. godini planirali 20.000 eur, u 2025. 10.000 kn i u 2026. </w:t>
      </w:r>
    </w:p>
    <w:p w:rsidR="00A46866" w:rsidRDefault="00F51091">
      <w:r>
        <w:t xml:space="preserve">10.000 eur. Navedeni iznosi su planirani za troškove službenih putovanja, za troškove najma dvorana za održavanje </w:t>
      </w:r>
    </w:p>
    <w:p w:rsidR="00A46866" w:rsidRDefault="00F51091">
      <w:r>
        <w:t xml:space="preserve">predavanja, i najma ostale opreme (za simultano prevođenje) za naknadu prema ugovoru o djelu – za angažman </w:t>
      </w:r>
    </w:p>
    <w:p w:rsidR="00A46866" w:rsidRDefault="00F51091">
      <w:r>
        <w:t xml:space="preserve">vanjskog financijskog stručnjaka za izradu financijskih izvješća i za nabavu te za nabavu uredske opreme. </w:t>
      </w:r>
    </w:p>
    <w:p w:rsidR="00A46866" w:rsidRDefault="00F51091">
      <w:r>
        <w:t xml:space="preserve">U okviru predmetnog projekta provodimo i projekt CYCLOPES. Proračun projekta iznosi 68.937,50 eur i traje 60 </w:t>
      </w:r>
    </w:p>
    <w:p w:rsidR="00A46866" w:rsidRDefault="00F51091">
      <w:r>
        <w:t xml:space="preserve">mjeseci. Za projekt CYCLOPES smo u 2024. godini 30.000 eur, 2025. 30.000 eur i u 2026. 8.937 eur. Navedeni </w:t>
      </w:r>
    </w:p>
    <w:p w:rsidR="00A46866" w:rsidRDefault="00F51091">
      <w:r>
        <w:t xml:space="preserve">iznosi su planirani za službena putovanja (inozemne dnevnice, troškove avio karata i troškove smještaja), uredski </w:t>
      </w:r>
    </w:p>
    <w:p w:rsidR="00A46866" w:rsidRDefault="00F51091">
      <w:r>
        <w:t xml:space="preserve">materijal, za nabavu sitnog inventara, za usluge promidžbe i za naknadu prema ugovoru o djelu – za angažman </w:t>
      </w:r>
    </w:p>
    <w:p w:rsidR="00A46866" w:rsidRDefault="00F51091">
      <w:r>
        <w:t xml:space="preserve">vanjskog financijskog stručnjaka za izradu financijskih izvješća. </w:t>
      </w:r>
    </w:p>
    <w:p w:rsidR="00A46866" w:rsidRDefault="00F51091">
      <w:r>
        <w:t xml:space="preserve">U okviru predmetnog projekta provodimo i projekt INHERIT. Proračun projekta iznosi 63.125 eur i traje 36 </w:t>
      </w:r>
    </w:p>
    <w:p w:rsidR="00A46866" w:rsidRDefault="00F51091">
      <w:r>
        <w:t xml:space="preserve">mjeseci. Za projekt INHERIT smo u 2024. godini planirali 20.000 eur, u 2025. 20.000 eur i u 2026. 23.125 eur. </w:t>
      </w:r>
    </w:p>
    <w:p w:rsidR="00A46866" w:rsidRDefault="00F51091">
      <w:r>
        <w:t xml:space="preserve">Navedeni iznosi su planirani za službena putovanja (inozemne dnevnice, troškove avio karata i troškove smještaja), </w:t>
      </w:r>
    </w:p>
    <w:p w:rsidR="00A46866" w:rsidRDefault="00F51091">
      <w:r>
        <w:t xml:space="preserve">uredski materijal, za nabavu sitnog inventara, za usluge promidžbe i za naknadu prema ugovoru o djelu – za </w:t>
      </w:r>
    </w:p>
    <w:p w:rsidR="00A46866" w:rsidRDefault="00F51091">
      <w:r>
        <w:t xml:space="preserve">angažman vanjskog financijskog stručnjaka za izradu financijskih izvješća. </w:t>
      </w:r>
    </w:p>
    <w:p w:rsidR="00A46866" w:rsidRDefault="00F51091">
      <w:r>
        <w:t xml:space="preserve">Kroz predmetni projekt provodimo i projekt CRITERIA. Proračun projekta iznosi 67.500 eur i traje 36 mjeseci </w:t>
      </w:r>
    </w:p>
    <w:p w:rsidR="00A46866" w:rsidRDefault="00F51091">
      <w:r>
        <w:t>počevši od 1. rujna 2021. godine. Za projekt CRITERIA smo u 2024. planirali 10.000 eur. Navedeni iznosi su planirani za službena putovanja (inozemne dnevnice, troškove avio karata i troškove smještaja), uredski materijal, za nabavu sitnog inventara, za usluge promidžbe i za naknadu prema ugovoru o djelu – za angažman vanjskog financijskog stručnjaka za izradu financijskih izvješća.</w:t>
      </w:r>
    </w:p>
    <w:p w:rsidR="00A46866" w:rsidRDefault="00F51091">
      <w:pPr>
        <w:pStyle w:val="Naslov4"/>
      </w:pPr>
      <w:r>
        <w:t>T863031 FONDOVI ZA UNUTARNJE POSLOVE 2021.-2027. - TEHNIČKA POMOĆ</w:t>
      </w:r>
    </w:p>
    <w:p w:rsidR="00A46866" w:rsidRDefault="00F51091">
      <w:pPr>
        <w:pStyle w:val="Naslov8"/>
        <w:jc w:val="left"/>
      </w:pPr>
      <w:r>
        <w:t>Zakonske i druge pravne osnove</w:t>
      </w:r>
    </w:p>
    <w:p w:rsidR="00A46866" w:rsidRDefault="00F51091">
      <w:r>
        <w:t xml:space="preserve">Uredba (EU) 2021/1147 Europskog parlamenta i Vijeća od 7. srpnja 2021. o uspostavi Fonda za azil, migracije i integraciju. </w:t>
      </w:r>
    </w:p>
    <w:p w:rsidR="00A46866" w:rsidRDefault="00F51091">
      <w:r>
        <w:t xml:space="preserve">Uredba (EU) 2021/1149 Europskog parlamenta i vijeća od 07. srpnja 2021. o uspostavi Fonda za unutarnju sigurnost. </w:t>
      </w:r>
    </w:p>
    <w:p w:rsidR="00A46866" w:rsidRDefault="00F51091">
      <w:r>
        <w:t>Uredba (EU) 2021/1148 Europskog parlamenta i Vijeća od 7. srpnja 2021. o uspostavi, u okviru Fonda za integrirano upravljanje granicama, Instrumenta za financijsku potporu u području upravljanja granicama i vizne politike.</w:t>
      </w:r>
    </w:p>
    <w:tbl>
      <w:tblPr>
        <w:tblStyle w:val="StilTablice"/>
        <w:tblW w:w="10206" w:type="dxa"/>
        <w:jc w:val="center"/>
        <w:tblLook w:val="04A0" w:firstRow="1" w:lastRow="0" w:firstColumn="1" w:lastColumn="0" w:noHBand="0" w:noVBand="1"/>
      </w:tblPr>
      <w:tblGrid>
        <w:gridCol w:w="1467"/>
        <w:gridCol w:w="1552"/>
        <w:gridCol w:w="1543"/>
        <w:gridCol w:w="1558"/>
        <w:gridCol w:w="1558"/>
        <w:gridCol w:w="1558"/>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T863031</w:t>
            </w:r>
          </w:p>
        </w:tc>
        <w:tc>
          <w:tcPr>
            <w:tcW w:w="1632" w:type="dxa"/>
            <w:vAlign w:val="top"/>
          </w:tcPr>
          <w:p w:rsidR="00A46866" w:rsidRDefault="00F51091">
            <w:pPr>
              <w:jc w:val="right"/>
            </w:pPr>
            <w:r>
              <w:t>00</w:t>
            </w:r>
          </w:p>
        </w:tc>
        <w:tc>
          <w:tcPr>
            <w:tcW w:w="1632" w:type="dxa"/>
            <w:vAlign w:val="top"/>
          </w:tcPr>
          <w:p w:rsidR="00A46866" w:rsidRDefault="00F51091">
            <w:pPr>
              <w:jc w:val="right"/>
            </w:pPr>
            <w:r>
              <w:t>712.000</w:t>
            </w:r>
          </w:p>
        </w:tc>
        <w:tc>
          <w:tcPr>
            <w:tcW w:w="1632" w:type="dxa"/>
            <w:vAlign w:val="top"/>
          </w:tcPr>
          <w:p w:rsidR="00A46866" w:rsidRDefault="00F51091">
            <w:pPr>
              <w:jc w:val="right"/>
            </w:pPr>
            <w:r>
              <w:t>1.855.000</w:t>
            </w:r>
          </w:p>
        </w:tc>
        <w:tc>
          <w:tcPr>
            <w:tcW w:w="1632" w:type="dxa"/>
            <w:vAlign w:val="top"/>
          </w:tcPr>
          <w:p w:rsidR="00A46866" w:rsidRDefault="00F51091">
            <w:pPr>
              <w:jc w:val="right"/>
            </w:pPr>
            <w:r>
              <w:t>1.848.000</w:t>
            </w:r>
          </w:p>
        </w:tc>
        <w:tc>
          <w:tcPr>
            <w:tcW w:w="1632" w:type="dxa"/>
            <w:vAlign w:val="top"/>
          </w:tcPr>
          <w:p w:rsidR="00A46866" w:rsidRDefault="00F51091">
            <w:pPr>
              <w:jc w:val="right"/>
            </w:pPr>
            <w:r>
              <w:t>1.940.000</w:t>
            </w:r>
          </w:p>
        </w:tc>
        <w:tc>
          <w:tcPr>
            <w:tcW w:w="510" w:type="dxa"/>
            <w:vAlign w:val="top"/>
          </w:tcPr>
          <w:p w:rsidR="00A46866" w:rsidRDefault="00F51091">
            <w:pPr>
              <w:jc w:val="right"/>
            </w:pPr>
            <w:r>
              <w:t>260,5</w:t>
            </w:r>
          </w:p>
        </w:tc>
      </w:tr>
    </w:tbl>
    <w:p w:rsidR="00A46866" w:rsidRDefault="00A46866">
      <w:pPr>
        <w:jc w:val="left"/>
      </w:pPr>
    </w:p>
    <w:p w:rsidR="00A46866" w:rsidRDefault="00F51091">
      <w:r>
        <w:t xml:space="preserve">Tehnička pomoć iz Fonda za azil, migracije i integraciju, Fonda za unutarnju sigurnost i Fonda za integrirano upravljanje granicama, Instrumenta za financijsku potporu u prodručju upravljanja granicama i vizne politike 2021.-2027. Kroz predmetni projekt su planirana sredstva za tehnička pomoć za upravljačko tijelo koje upravlja fondovima </w:t>
      </w:r>
      <w:r>
        <w:lastRenderedPageBreak/>
        <w:t>za unutarnje poslove (ustrojstvena jedinica MUP-a – Uprava za europske poslove, međunarodne odnose i fondove Europske unije). U okviru tehničke pomoći su planirana sredstva za plaću za djelatnike koji rade u upravljačkom tijelu, zatim za službena putovanja, stručno usavršavanje, za usluge promidžbe i informiranja, za troškove ugovora o djelu za djelatnike koji rade u upravljačkom tijelu, za nabavu uredske opreme i namještaja, za nabavu raznih uređaja, strojeva i opreme za ostale namjene te za dodatna ulaganja na građevinskim objektima.</w:t>
      </w:r>
    </w:p>
    <w:p w:rsidR="00A46866" w:rsidRDefault="00F51091">
      <w:pPr>
        <w:pStyle w:val="Naslov4"/>
      </w:pPr>
      <w:r>
        <w:t>T879006 AMIF - EUROPSKA MIGRACIJSKA MREŽA - NACIONALNA KONTAKT TOČKA</w:t>
      </w:r>
    </w:p>
    <w:p w:rsidR="00A46866" w:rsidRDefault="00F51091">
      <w:pPr>
        <w:pStyle w:val="Naslov8"/>
        <w:jc w:val="left"/>
      </w:pPr>
      <w:r>
        <w:t>Zakonske i druge pravne osnove</w:t>
      </w:r>
    </w:p>
    <w:p w:rsidR="00A46866" w:rsidRDefault="00F51091">
      <w:r>
        <w:t xml:space="preserve">Europska migracijska mreža (EMN) osnovana je Odlukom Vijeća 2008/381/EC. </w:t>
      </w:r>
    </w:p>
    <w:p w:rsidR="00A46866" w:rsidRDefault="00F51091">
      <w:r>
        <w:t>Grant Agreement Project 101119397 - HR EMN.</w:t>
      </w:r>
    </w:p>
    <w:tbl>
      <w:tblPr>
        <w:tblStyle w:val="StilTablice"/>
        <w:tblW w:w="10206" w:type="dxa"/>
        <w:jc w:val="center"/>
        <w:tblLook w:val="04A0" w:firstRow="1" w:lastRow="0" w:firstColumn="1" w:lastColumn="0" w:noHBand="0" w:noVBand="1"/>
      </w:tblPr>
      <w:tblGrid>
        <w:gridCol w:w="1473"/>
        <w:gridCol w:w="1560"/>
        <w:gridCol w:w="1544"/>
        <w:gridCol w:w="1553"/>
        <w:gridCol w:w="1553"/>
        <w:gridCol w:w="1553"/>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T879006</w:t>
            </w:r>
          </w:p>
        </w:tc>
        <w:tc>
          <w:tcPr>
            <w:tcW w:w="1632" w:type="dxa"/>
            <w:vAlign w:val="top"/>
          </w:tcPr>
          <w:p w:rsidR="00A46866" w:rsidRDefault="00F51091">
            <w:pPr>
              <w:jc w:val="right"/>
            </w:pPr>
            <w:r>
              <w:t>109.197</w:t>
            </w:r>
          </w:p>
        </w:tc>
        <w:tc>
          <w:tcPr>
            <w:tcW w:w="1632" w:type="dxa"/>
            <w:vAlign w:val="top"/>
          </w:tcPr>
          <w:p w:rsidR="00A46866" w:rsidRDefault="00F51091">
            <w:pPr>
              <w:jc w:val="right"/>
            </w:pPr>
            <w:r>
              <w:t>94.000</w:t>
            </w:r>
          </w:p>
        </w:tc>
        <w:tc>
          <w:tcPr>
            <w:tcW w:w="1632" w:type="dxa"/>
            <w:vAlign w:val="top"/>
          </w:tcPr>
          <w:p w:rsidR="00A46866" w:rsidRDefault="00F51091">
            <w:pPr>
              <w:jc w:val="right"/>
            </w:pPr>
            <w:r>
              <w:t>147.000</w:t>
            </w:r>
          </w:p>
        </w:tc>
        <w:tc>
          <w:tcPr>
            <w:tcW w:w="1632" w:type="dxa"/>
            <w:vAlign w:val="top"/>
          </w:tcPr>
          <w:p w:rsidR="00A46866" w:rsidRDefault="00F51091">
            <w:pPr>
              <w:jc w:val="right"/>
            </w:pPr>
            <w:r>
              <w:t>147.000</w:t>
            </w:r>
          </w:p>
        </w:tc>
        <w:tc>
          <w:tcPr>
            <w:tcW w:w="1632" w:type="dxa"/>
            <w:vAlign w:val="top"/>
          </w:tcPr>
          <w:p w:rsidR="00A46866" w:rsidRDefault="00F51091">
            <w:pPr>
              <w:jc w:val="right"/>
            </w:pPr>
            <w:r>
              <w:t>147.000</w:t>
            </w:r>
          </w:p>
        </w:tc>
        <w:tc>
          <w:tcPr>
            <w:tcW w:w="510" w:type="dxa"/>
            <w:vAlign w:val="top"/>
          </w:tcPr>
          <w:p w:rsidR="00A46866" w:rsidRDefault="00F51091">
            <w:pPr>
              <w:jc w:val="right"/>
            </w:pPr>
            <w:r>
              <w:t>156,4</w:t>
            </w:r>
          </w:p>
        </w:tc>
      </w:tr>
    </w:tbl>
    <w:p w:rsidR="00A46866" w:rsidRDefault="00A46866">
      <w:pPr>
        <w:jc w:val="left"/>
      </w:pPr>
    </w:p>
    <w:p w:rsidR="00A46866" w:rsidRDefault="00F51091">
      <w:r>
        <w:t xml:space="preserve">Europska migracijska mreža (EMN) JE sufinancirana od strane EU-a čija je svrha pružanje ažurnih, objektivnih, </w:t>
      </w:r>
    </w:p>
    <w:p w:rsidR="00A46866" w:rsidRDefault="00F51091">
      <w:r>
        <w:t xml:space="preserve">pouzdanih i usporedivih informacija o migracijama i azilu za institucije EU-a, njenih država članica i Norvešku, u </w:t>
      </w:r>
    </w:p>
    <w:p w:rsidR="00A46866" w:rsidRDefault="00F51091">
      <w:r>
        <w:t xml:space="preserve">cilju informiranja o politici i olakšavanje praktične suradnje. EMN bi također trebala služiti da takve informacije </w:t>
      </w:r>
    </w:p>
    <w:p w:rsidR="00A46866" w:rsidRDefault="00F51091">
      <w:r>
        <w:t xml:space="preserve">budu dostupne široj javnosti. EMN čine Europska komisija i Nacionalne kontaktne točke (EMN NCPs). </w:t>
      </w:r>
    </w:p>
    <w:p w:rsidR="00A46866" w:rsidRDefault="00F51091">
      <w:r>
        <w:t xml:space="preserve">Ministarstvo unutarnjih poslova je preuzelo ulogu nacionalne kontakt točke za EMN sa datumom 01.01.2019. U </w:t>
      </w:r>
    </w:p>
    <w:p w:rsidR="00A46866" w:rsidRDefault="00F51091">
      <w:r>
        <w:t>okviru projekta EMN Nacionalna kontaktna točka Hrvatska 2022.-2024.. MUP će i u narednom razdoblju biti nacionalna kontakt točka za EMN jer je 03.07.2023. potpisao Grant Agreement Project 101119397 sa Europskom komisijom za razdoblje 2023.-2025. Proračun je planiran u svakoj godini na način: 18,4% je planirano za rashode za zaposlene (odnosi se na 50% plaće za dvije osobe koje su zaposlenici Ministarstva unutranjih poslova), 48,3% je naknada za ugovor o djelu za tri asistentice koje će raditi na projektu, 13,6% za troškove putovanja (dnevnice, troškovi prijevoza i troškovi smještaja) na konferencije/sastanke nacionalnih kontakt točaka te na sastanke Upravljačkog odobora, 14,9% za organizaciju sastanaka Nacionalne migracijske mreže te drugih sastanaka sa stručnjacima iz drugih tijela državne uprave, kao i za troškove organizacije EMN međunarodne konferencije u vrijeme HR PRES i EMN seminara te 2,7% za troškove tiskanja i prijevoda EMN materijala te troškovi prijevoda zakonodavnih akata u nadležnosti MUP-a na strani jezik.</w:t>
      </w:r>
    </w:p>
    <w:p w:rsidR="00A46866" w:rsidRDefault="00F51091">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46866">
        <w:trPr>
          <w:jc w:val="center"/>
        </w:trPr>
        <w:tc>
          <w:tcPr>
            <w:tcW w:w="2245" w:type="dxa"/>
            <w:shd w:val="clear" w:color="auto" w:fill="B5C0D8"/>
          </w:tcPr>
          <w:p w:rsidR="00A46866" w:rsidRDefault="00F51091">
            <w:pPr>
              <w:jc w:val="center"/>
            </w:pPr>
            <w:r>
              <w:t>Pokazatelj rezultata</w:t>
            </w:r>
          </w:p>
        </w:tc>
        <w:tc>
          <w:tcPr>
            <w:tcW w:w="2245" w:type="dxa"/>
            <w:shd w:val="clear" w:color="auto" w:fill="B5C0D8"/>
          </w:tcPr>
          <w:p w:rsidR="00A46866" w:rsidRDefault="00F51091">
            <w:pPr>
              <w:pStyle w:val="CellHeader"/>
              <w:jc w:val="center"/>
            </w:pPr>
            <w:r>
              <w:rPr>
                <w:rFonts w:cs="Times New Roman"/>
              </w:rPr>
              <w:t>Definicija</w:t>
            </w:r>
          </w:p>
        </w:tc>
        <w:tc>
          <w:tcPr>
            <w:tcW w:w="918" w:type="dxa"/>
            <w:shd w:val="clear" w:color="auto" w:fill="B5C0D8"/>
          </w:tcPr>
          <w:p w:rsidR="00A46866" w:rsidRDefault="00F51091">
            <w:pPr>
              <w:pStyle w:val="CellHeader"/>
              <w:jc w:val="center"/>
            </w:pPr>
            <w:r>
              <w:rPr>
                <w:rFonts w:cs="Times New Roman"/>
              </w:rPr>
              <w:t>Jedinica</w:t>
            </w:r>
          </w:p>
        </w:tc>
        <w:tc>
          <w:tcPr>
            <w:tcW w:w="918" w:type="dxa"/>
            <w:shd w:val="clear" w:color="auto" w:fill="B5C0D8"/>
          </w:tcPr>
          <w:p w:rsidR="00A46866" w:rsidRDefault="00F51091">
            <w:pPr>
              <w:pStyle w:val="CellHeader"/>
              <w:jc w:val="center"/>
            </w:pPr>
            <w:r>
              <w:rPr>
                <w:rFonts w:cs="Times New Roman"/>
              </w:rPr>
              <w:t>Polazna vrijednost</w:t>
            </w:r>
          </w:p>
        </w:tc>
        <w:tc>
          <w:tcPr>
            <w:tcW w:w="918" w:type="dxa"/>
            <w:shd w:val="clear" w:color="auto" w:fill="B5C0D8"/>
          </w:tcPr>
          <w:p w:rsidR="00A46866" w:rsidRDefault="00F51091">
            <w:pPr>
              <w:pStyle w:val="CellHeader"/>
              <w:jc w:val="center"/>
            </w:pPr>
            <w:r>
              <w:rPr>
                <w:rFonts w:cs="Times New Roman"/>
              </w:rPr>
              <w:t>Izvor podataka</w:t>
            </w:r>
          </w:p>
        </w:tc>
        <w:tc>
          <w:tcPr>
            <w:tcW w:w="918" w:type="dxa"/>
            <w:shd w:val="clear" w:color="auto" w:fill="B5C0D8"/>
          </w:tcPr>
          <w:p w:rsidR="00A46866" w:rsidRDefault="00F51091">
            <w:pPr>
              <w:pStyle w:val="CellHeader"/>
              <w:jc w:val="center"/>
            </w:pPr>
            <w:r>
              <w:rPr>
                <w:rFonts w:cs="Times New Roman"/>
              </w:rPr>
              <w:t>Ciljana vrijednost (2024.)</w:t>
            </w:r>
          </w:p>
        </w:tc>
        <w:tc>
          <w:tcPr>
            <w:tcW w:w="918" w:type="dxa"/>
            <w:shd w:val="clear" w:color="auto" w:fill="B5C0D8"/>
          </w:tcPr>
          <w:p w:rsidR="00A46866" w:rsidRDefault="00F51091">
            <w:pPr>
              <w:pStyle w:val="CellHeader"/>
              <w:jc w:val="center"/>
            </w:pPr>
            <w:r>
              <w:rPr>
                <w:rFonts w:cs="Times New Roman"/>
              </w:rPr>
              <w:t>Ciljana vrijednost (2025.)</w:t>
            </w:r>
          </w:p>
        </w:tc>
        <w:tc>
          <w:tcPr>
            <w:tcW w:w="918" w:type="dxa"/>
            <w:shd w:val="clear" w:color="auto" w:fill="B5C0D8"/>
          </w:tcPr>
          <w:p w:rsidR="00A46866" w:rsidRDefault="00F51091">
            <w:pPr>
              <w:pStyle w:val="CellHeader"/>
              <w:jc w:val="center"/>
            </w:pPr>
            <w:r>
              <w:rPr>
                <w:rFonts w:cs="Times New Roman"/>
              </w:rPr>
              <w:t>Ciljana vrijednost (2026.)</w:t>
            </w:r>
          </w:p>
        </w:tc>
      </w:tr>
      <w:tr w:rsidR="00A46866">
        <w:trPr>
          <w:jc w:val="center"/>
        </w:trPr>
        <w:tc>
          <w:tcPr>
            <w:tcW w:w="2245" w:type="dxa"/>
            <w:vAlign w:val="top"/>
          </w:tcPr>
          <w:p w:rsidR="00A46866" w:rsidRDefault="00F51091">
            <w:pPr>
              <w:pStyle w:val="CellColumn"/>
              <w:jc w:val="left"/>
            </w:pPr>
            <w:r>
              <w:rPr>
                <w:rFonts w:cs="Times New Roman"/>
              </w:rPr>
              <w:t>Realizacija ugovora.</w:t>
            </w:r>
          </w:p>
        </w:tc>
        <w:tc>
          <w:tcPr>
            <w:tcW w:w="2245" w:type="dxa"/>
            <w:vAlign w:val="top"/>
          </w:tcPr>
          <w:p w:rsidR="00A46866" w:rsidRDefault="00F51091">
            <w:pPr>
              <w:pStyle w:val="CellColumn"/>
              <w:jc w:val="left"/>
            </w:pPr>
            <w:r>
              <w:rPr>
                <w:rFonts w:cs="Times New Roman"/>
              </w:rPr>
              <w:t xml:space="preserve">Realizacija obveza iz </w:t>
            </w:r>
          </w:p>
          <w:p w:rsidR="00A46866" w:rsidRDefault="00F51091">
            <w:pPr>
              <w:pStyle w:val="CellColumn"/>
              <w:jc w:val="left"/>
            </w:pPr>
            <w:r>
              <w:rPr>
                <w:rFonts w:cs="Times New Roman"/>
              </w:rPr>
              <w:t>sklopljenih ugovora.</w:t>
            </w:r>
          </w:p>
        </w:tc>
        <w:tc>
          <w:tcPr>
            <w:tcW w:w="918" w:type="dxa"/>
          </w:tcPr>
          <w:p w:rsidR="00A46866" w:rsidRDefault="00F51091">
            <w:pPr>
              <w:jc w:val="center"/>
            </w:pPr>
            <w:r>
              <w:t>%</w:t>
            </w:r>
          </w:p>
        </w:tc>
        <w:tc>
          <w:tcPr>
            <w:tcW w:w="918" w:type="dxa"/>
          </w:tcPr>
          <w:p w:rsidR="00A46866" w:rsidRDefault="00F51091">
            <w:pPr>
              <w:jc w:val="center"/>
            </w:pPr>
            <w:r>
              <w:t>0</w:t>
            </w:r>
          </w:p>
        </w:tc>
        <w:tc>
          <w:tcPr>
            <w:tcW w:w="918" w:type="dxa"/>
          </w:tcPr>
          <w:p w:rsidR="00A46866" w:rsidRDefault="00F51091">
            <w:pPr>
              <w:pStyle w:val="CellColumn"/>
              <w:jc w:val="center"/>
            </w:pPr>
            <w:r>
              <w:rPr>
                <w:rFonts w:cs="Times New Roman"/>
              </w:rPr>
              <w:t>MUP</w:t>
            </w:r>
          </w:p>
        </w:tc>
        <w:tc>
          <w:tcPr>
            <w:tcW w:w="918" w:type="dxa"/>
          </w:tcPr>
          <w:p w:rsidR="00A46866" w:rsidRDefault="00F51091">
            <w:pPr>
              <w:jc w:val="center"/>
            </w:pPr>
            <w:r>
              <w:t>30</w:t>
            </w:r>
          </w:p>
        </w:tc>
        <w:tc>
          <w:tcPr>
            <w:tcW w:w="918" w:type="dxa"/>
          </w:tcPr>
          <w:p w:rsidR="00A46866" w:rsidRDefault="00F51091">
            <w:pPr>
              <w:jc w:val="center"/>
            </w:pPr>
            <w:r>
              <w:t>70</w:t>
            </w:r>
          </w:p>
        </w:tc>
        <w:tc>
          <w:tcPr>
            <w:tcW w:w="918" w:type="dxa"/>
          </w:tcPr>
          <w:p w:rsidR="00A46866" w:rsidRDefault="00F51091">
            <w:pPr>
              <w:jc w:val="center"/>
            </w:pPr>
            <w:r>
              <w:t>100</w:t>
            </w:r>
          </w:p>
        </w:tc>
      </w:tr>
    </w:tbl>
    <w:p w:rsidR="00A46866" w:rsidRDefault="00A46866">
      <w:pPr>
        <w:jc w:val="left"/>
      </w:pPr>
    </w:p>
    <w:p w:rsidR="00A46866" w:rsidRDefault="00F51091">
      <w:pPr>
        <w:pStyle w:val="Naslov4"/>
      </w:pPr>
      <w:r>
        <w:t>A553158 FRONTEX-JAČANJE KOORDINACIJE I OPERATIVNE SURADNJE IZMEĐU DRŽAVA ČLANICA EU NA PODRUČJU UPRAVLJANJA VANJSKIM GRANICAMA</w:t>
      </w:r>
    </w:p>
    <w:p w:rsidR="00A46866" w:rsidRDefault="00F51091">
      <w:pPr>
        <w:pStyle w:val="Naslov8"/>
        <w:jc w:val="left"/>
      </w:pPr>
      <w:r>
        <w:t>Zakonske i druge pravne osnove</w:t>
      </w:r>
    </w:p>
    <w:p w:rsidR="00A46866" w:rsidRDefault="00F51091">
      <w:r>
        <w:t>„Okvirni sporazum o partnerstvu između Ministarstva unutarnjih poslova RH i Europske agencije za upravljanje operativnom suradnjom na vanjskim granicama država članice Europske unije“ od 16. prosinca 2013.g., Partnerski ugovor o suradnji Policijske akademije i FRONTEX-a potpisan 06. veljače 2017.godine</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A46866">
        <w:trPr>
          <w:jc w:val="center"/>
        </w:trPr>
        <w:tc>
          <w:tcPr>
            <w:tcW w:w="1530" w:type="dxa"/>
            <w:shd w:val="clear" w:color="auto" w:fill="B5C0D8"/>
          </w:tcPr>
          <w:p w:rsidR="00A46866" w:rsidRDefault="00F51091">
            <w:pPr>
              <w:pStyle w:val="CellHeader"/>
              <w:jc w:val="center"/>
            </w:pPr>
            <w:r>
              <w:rPr>
                <w:rFonts w:cs="Times New Roman"/>
              </w:rPr>
              <w:lastRenderedPageBreak/>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A553158</w:t>
            </w:r>
          </w:p>
        </w:tc>
        <w:tc>
          <w:tcPr>
            <w:tcW w:w="1632" w:type="dxa"/>
            <w:vAlign w:val="top"/>
          </w:tcPr>
          <w:p w:rsidR="00A46866" w:rsidRDefault="00F51091">
            <w:pPr>
              <w:jc w:val="right"/>
            </w:pPr>
            <w:r>
              <w:t>4.378.922</w:t>
            </w:r>
          </w:p>
        </w:tc>
        <w:tc>
          <w:tcPr>
            <w:tcW w:w="1632" w:type="dxa"/>
            <w:vAlign w:val="top"/>
          </w:tcPr>
          <w:p w:rsidR="00A46866" w:rsidRDefault="00F51091">
            <w:pPr>
              <w:jc w:val="right"/>
            </w:pPr>
            <w:r>
              <w:t>2.040.000</w:t>
            </w:r>
          </w:p>
        </w:tc>
        <w:tc>
          <w:tcPr>
            <w:tcW w:w="1632" w:type="dxa"/>
            <w:vAlign w:val="top"/>
          </w:tcPr>
          <w:p w:rsidR="00A46866" w:rsidRDefault="00F51091">
            <w:pPr>
              <w:jc w:val="right"/>
            </w:pPr>
            <w:r>
              <w:t>1.200.000</w:t>
            </w:r>
          </w:p>
        </w:tc>
        <w:tc>
          <w:tcPr>
            <w:tcW w:w="1632" w:type="dxa"/>
            <w:vAlign w:val="top"/>
          </w:tcPr>
          <w:p w:rsidR="00A46866" w:rsidRDefault="00F51091">
            <w:pPr>
              <w:jc w:val="right"/>
            </w:pPr>
            <w:r>
              <w:t>1.200.000</w:t>
            </w:r>
          </w:p>
        </w:tc>
        <w:tc>
          <w:tcPr>
            <w:tcW w:w="1632" w:type="dxa"/>
            <w:vAlign w:val="top"/>
          </w:tcPr>
          <w:p w:rsidR="00A46866" w:rsidRDefault="00F51091">
            <w:pPr>
              <w:jc w:val="right"/>
            </w:pPr>
            <w:r>
              <w:t>1.200.000</w:t>
            </w:r>
          </w:p>
        </w:tc>
        <w:tc>
          <w:tcPr>
            <w:tcW w:w="510" w:type="dxa"/>
            <w:vAlign w:val="top"/>
          </w:tcPr>
          <w:p w:rsidR="00A46866" w:rsidRDefault="00F51091">
            <w:pPr>
              <w:jc w:val="right"/>
            </w:pPr>
            <w:r>
              <w:t>58,8</w:t>
            </w:r>
          </w:p>
        </w:tc>
      </w:tr>
    </w:tbl>
    <w:p w:rsidR="00A46866" w:rsidRDefault="00A46866">
      <w:pPr>
        <w:jc w:val="left"/>
      </w:pPr>
    </w:p>
    <w:p w:rsidR="00A46866" w:rsidRDefault="00F51091">
      <w:r>
        <w:t xml:space="preserve">Ova aktivnost je uspostavljena radi lakšeg praćenja refundacije troškova MUP-a od strane „Frontex-a“, a ostvarenih sudjelovanjem u međunarodnim aktivnostima granične policije. Općenita zadaća FRONTEX-a je jačanje koordinacije i operativne suradnje između država članica EU-a na području upravljanja vanjskim granicama, kao i jačanje slobode, sigurnosti i pravednosti u Europskoj uniji. Akcije koje se provode u sklopu Frontexovih aktivnosti su akcije na moru pod nazivom »MMO ADRIA« - višenamjenska pomorska operacija, akcije na kopnu "JO Terra" u Bugarskoj, Grčkoj, Rumunjskoj, Slovačkoj, "JO Albania Land", "JO Coordination Points Land – Crna Gora", "JO Serbia Land", "JO Indalo" u Španjolskoj, "JO North Macedonia" u kojoj sudjeluje hrvatska granična policija sa patrolnim vozilima te zrakoplovne akcije "JO Focal Points Air" Njemačka, Slovenia, Crna Gora, Francuska, Španjolska, Grčka, Italija. Uz ove akcije aktivirani su i tzv. Focal Point-ovi, odnosno kontaktne točke ustrojene na vanjskim granicama Hrvatske, a koje služe razmjeni iskustava i suradnji granične policije RH i zemalja članica EU. Također, zbog velikog priliva nezakonitih migranata iz Azije na području istočnog Sredozemlja, hrvatski policajci uključeni su u provedbu zadaća zaštite vanjskih granica na moru i spašavanja migranata na području ugroženih zemalja, dok se pripreme za uspješnu provedbu navedenih zadaća, kako hrvatskih policajaca tako i policijskih službenika zemalja članica EU, provode u FRONTEX-ovoj partnerskoj akademiji odnosno Policijskoj akademiji u Zagrebu. </w:t>
      </w:r>
    </w:p>
    <w:p w:rsidR="00A46866" w:rsidRDefault="00F51091">
      <w:r>
        <w:t>Planirana sredstva za provedbu akcija hrvatske granične policije u skolpu Frontex-ovih aktivnosti za razdoblje 2024.g.-2026.g. iznose 1.200.000,00 eur za svaku godinu te su najvećim dijelom sredstva planirana za službena putovanja (dnevnice, naknade za prijevoz i smještaj u inozemstvu) i to u iznosu od 800.000,00 eur /66,67%, za energiju u iznosu od 228.000,00 eur/19 %, za usluge tekućeg i investicijskog održavanja vozila i plovila koji sudjeluju u operacijama u iznosu od 25.000,00 eur /2,08%, dok se preostali iznos od 147.000,00 eur/12,25 % odnosi na telekomunikacijske usluge, materijal i sirovine, uredski materijal, usluge promidžbe, zdravstvene usluge, usluge osiguranja djelatnika, sitni inventar, reprezentaciju, intelektualne usluge, smještaj, prehranu i prijevoz sudionika- stranih trenera, te za opremu (računalna oprema, komunikacijska oprema, policijska oprema).</w:t>
      </w:r>
    </w:p>
    <w:p w:rsidR="00A46866" w:rsidRDefault="00F51091">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46866">
        <w:trPr>
          <w:jc w:val="center"/>
        </w:trPr>
        <w:tc>
          <w:tcPr>
            <w:tcW w:w="2245" w:type="dxa"/>
            <w:shd w:val="clear" w:color="auto" w:fill="B5C0D8"/>
          </w:tcPr>
          <w:p w:rsidR="00A46866" w:rsidRDefault="00F51091">
            <w:pPr>
              <w:jc w:val="center"/>
            </w:pPr>
            <w:r>
              <w:t>Pokazatelj rezultata</w:t>
            </w:r>
          </w:p>
        </w:tc>
        <w:tc>
          <w:tcPr>
            <w:tcW w:w="2245" w:type="dxa"/>
            <w:shd w:val="clear" w:color="auto" w:fill="B5C0D8"/>
          </w:tcPr>
          <w:p w:rsidR="00A46866" w:rsidRDefault="00F51091">
            <w:pPr>
              <w:pStyle w:val="CellHeader"/>
              <w:jc w:val="center"/>
            </w:pPr>
            <w:r>
              <w:rPr>
                <w:rFonts w:cs="Times New Roman"/>
              </w:rPr>
              <w:t>Definicija</w:t>
            </w:r>
          </w:p>
        </w:tc>
        <w:tc>
          <w:tcPr>
            <w:tcW w:w="918" w:type="dxa"/>
            <w:shd w:val="clear" w:color="auto" w:fill="B5C0D8"/>
          </w:tcPr>
          <w:p w:rsidR="00A46866" w:rsidRDefault="00F51091">
            <w:pPr>
              <w:pStyle w:val="CellHeader"/>
              <w:jc w:val="center"/>
            </w:pPr>
            <w:r>
              <w:rPr>
                <w:rFonts w:cs="Times New Roman"/>
              </w:rPr>
              <w:t>Jedinica</w:t>
            </w:r>
          </w:p>
        </w:tc>
        <w:tc>
          <w:tcPr>
            <w:tcW w:w="918" w:type="dxa"/>
            <w:shd w:val="clear" w:color="auto" w:fill="B5C0D8"/>
          </w:tcPr>
          <w:p w:rsidR="00A46866" w:rsidRDefault="00F51091">
            <w:pPr>
              <w:pStyle w:val="CellHeader"/>
              <w:jc w:val="center"/>
            </w:pPr>
            <w:r>
              <w:rPr>
                <w:rFonts w:cs="Times New Roman"/>
              </w:rPr>
              <w:t>Polazna vrijednost</w:t>
            </w:r>
          </w:p>
        </w:tc>
        <w:tc>
          <w:tcPr>
            <w:tcW w:w="918" w:type="dxa"/>
            <w:shd w:val="clear" w:color="auto" w:fill="B5C0D8"/>
          </w:tcPr>
          <w:p w:rsidR="00A46866" w:rsidRDefault="00F51091">
            <w:pPr>
              <w:pStyle w:val="CellHeader"/>
              <w:jc w:val="center"/>
            </w:pPr>
            <w:r>
              <w:rPr>
                <w:rFonts w:cs="Times New Roman"/>
              </w:rPr>
              <w:t>Izvor podataka</w:t>
            </w:r>
          </w:p>
        </w:tc>
        <w:tc>
          <w:tcPr>
            <w:tcW w:w="918" w:type="dxa"/>
            <w:shd w:val="clear" w:color="auto" w:fill="B5C0D8"/>
          </w:tcPr>
          <w:p w:rsidR="00A46866" w:rsidRDefault="00F51091">
            <w:pPr>
              <w:pStyle w:val="CellHeader"/>
              <w:jc w:val="center"/>
            </w:pPr>
            <w:r>
              <w:rPr>
                <w:rFonts w:cs="Times New Roman"/>
              </w:rPr>
              <w:t>Ciljana vrijednost (2024.)</w:t>
            </w:r>
          </w:p>
        </w:tc>
        <w:tc>
          <w:tcPr>
            <w:tcW w:w="918" w:type="dxa"/>
            <w:shd w:val="clear" w:color="auto" w:fill="B5C0D8"/>
          </w:tcPr>
          <w:p w:rsidR="00A46866" w:rsidRDefault="00F51091">
            <w:pPr>
              <w:pStyle w:val="CellHeader"/>
              <w:jc w:val="center"/>
            </w:pPr>
            <w:r>
              <w:rPr>
                <w:rFonts w:cs="Times New Roman"/>
              </w:rPr>
              <w:t>Ciljana vrijednost (2025.)</w:t>
            </w:r>
          </w:p>
        </w:tc>
        <w:tc>
          <w:tcPr>
            <w:tcW w:w="918" w:type="dxa"/>
            <w:shd w:val="clear" w:color="auto" w:fill="B5C0D8"/>
          </w:tcPr>
          <w:p w:rsidR="00A46866" w:rsidRDefault="00F51091">
            <w:pPr>
              <w:pStyle w:val="CellHeader"/>
              <w:jc w:val="center"/>
            </w:pPr>
            <w:r>
              <w:rPr>
                <w:rFonts w:cs="Times New Roman"/>
              </w:rPr>
              <w:t>Ciljana vrijednost (2026.)</w:t>
            </w:r>
          </w:p>
        </w:tc>
      </w:tr>
      <w:tr w:rsidR="00A46866">
        <w:trPr>
          <w:jc w:val="center"/>
        </w:trPr>
        <w:tc>
          <w:tcPr>
            <w:tcW w:w="2245" w:type="dxa"/>
            <w:vAlign w:val="top"/>
          </w:tcPr>
          <w:p w:rsidR="00A46866" w:rsidRDefault="00F51091">
            <w:pPr>
              <w:pStyle w:val="CellColumn"/>
              <w:jc w:val="left"/>
            </w:pPr>
            <w:r>
              <w:rPr>
                <w:rFonts w:cs="Times New Roman"/>
              </w:rPr>
              <w:t>Broj provedenih akcija hrvatske granične policije u sklopu FRONTEX-ovih aktivnosti</w:t>
            </w:r>
          </w:p>
        </w:tc>
        <w:tc>
          <w:tcPr>
            <w:tcW w:w="2245" w:type="dxa"/>
            <w:vAlign w:val="top"/>
          </w:tcPr>
          <w:p w:rsidR="00A46866" w:rsidRDefault="00F51091">
            <w:pPr>
              <w:pStyle w:val="CellColumn"/>
              <w:jc w:val="left"/>
            </w:pPr>
            <w:r>
              <w:rPr>
                <w:rFonts w:cs="Times New Roman"/>
              </w:rPr>
              <w:t>Putem organiziranih akcija ojačati će se koordinacija i operativna suradnja između RH i država članica EU-a na području upravljanja vanjskim granicama</w:t>
            </w:r>
          </w:p>
        </w:tc>
        <w:tc>
          <w:tcPr>
            <w:tcW w:w="918" w:type="dxa"/>
          </w:tcPr>
          <w:p w:rsidR="00A46866" w:rsidRDefault="00F51091">
            <w:pPr>
              <w:jc w:val="center"/>
            </w:pPr>
            <w:r>
              <w:t>broj</w:t>
            </w:r>
          </w:p>
        </w:tc>
        <w:tc>
          <w:tcPr>
            <w:tcW w:w="918" w:type="dxa"/>
          </w:tcPr>
          <w:p w:rsidR="00A46866" w:rsidRDefault="00F51091">
            <w:pPr>
              <w:jc w:val="center"/>
            </w:pPr>
            <w:r>
              <w:t>10</w:t>
            </w:r>
          </w:p>
        </w:tc>
        <w:tc>
          <w:tcPr>
            <w:tcW w:w="918" w:type="dxa"/>
          </w:tcPr>
          <w:p w:rsidR="00A46866" w:rsidRDefault="00F51091">
            <w:pPr>
              <w:pStyle w:val="CellColumn"/>
              <w:jc w:val="center"/>
            </w:pPr>
            <w:r>
              <w:rPr>
                <w:rFonts w:cs="Times New Roman"/>
              </w:rPr>
              <w:t>MUP</w:t>
            </w:r>
          </w:p>
        </w:tc>
        <w:tc>
          <w:tcPr>
            <w:tcW w:w="918" w:type="dxa"/>
          </w:tcPr>
          <w:p w:rsidR="00A46866" w:rsidRDefault="00F51091">
            <w:pPr>
              <w:jc w:val="center"/>
            </w:pPr>
            <w:r>
              <w:t>12</w:t>
            </w:r>
          </w:p>
        </w:tc>
        <w:tc>
          <w:tcPr>
            <w:tcW w:w="918" w:type="dxa"/>
          </w:tcPr>
          <w:p w:rsidR="00A46866" w:rsidRDefault="00F51091">
            <w:pPr>
              <w:jc w:val="center"/>
            </w:pPr>
            <w:r>
              <w:t>12</w:t>
            </w:r>
          </w:p>
        </w:tc>
        <w:tc>
          <w:tcPr>
            <w:tcW w:w="918" w:type="dxa"/>
          </w:tcPr>
          <w:p w:rsidR="00A46866" w:rsidRDefault="00F51091">
            <w:pPr>
              <w:jc w:val="center"/>
            </w:pPr>
            <w:r>
              <w:t>12</w:t>
            </w:r>
          </w:p>
        </w:tc>
      </w:tr>
    </w:tbl>
    <w:p w:rsidR="00A46866" w:rsidRDefault="00A46866">
      <w:pPr>
        <w:jc w:val="left"/>
      </w:pPr>
    </w:p>
    <w:p w:rsidR="00A46866" w:rsidRDefault="00F51091">
      <w:pPr>
        <w:pStyle w:val="Naslov4"/>
      </w:pPr>
      <w:r>
        <w:t>K553168 FOND ZA UNUTARNJU SIGURNOST - INSTRUMENT ZA GRANICE I VIZE</w:t>
      </w:r>
    </w:p>
    <w:p w:rsidR="00A46866" w:rsidRDefault="00F51091">
      <w:pPr>
        <w:pStyle w:val="Naslov8"/>
        <w:jc w:val="left"/>
      </w:pPr>
      <w:r>
        <w:t>Zakonske i druge pravne osnove</w:t>
      </w:r>
    </w:p>
    <w:p w:rsidR="00A46866" w:rsidRDefault="00F51091">
      <w:r>
        <w:t xml:space="preserve">Horizontalna uredba - Uredba (EU) br. 514/2014 Europskog parlamenta i Vijeća od 16. travnja 2014. o utvrđivanju općih odredaba o Fondu za azil, migracije te integraciju i o Instrumentu za financijsku potporu u području policijske suradnje, sprečavanja i suzbijanja kriminala te upravljanja krizama. Uredba (EU) br. 515/2014 Europskog parlamenta i Vijeća od 16. travnja 2014. o uspostavljanju, u okviru Fonda za unutarnju sigurnost, instrumenta za financijsku potporu u području vanjskih granica i viza i stavljanju izvan snage Odluke br. </w:t>
      </w:r>
    </w:p>
    <w:p w:rsidR="00A46866" w:rsidRDefault="00F51091">
      <w:r>
        <w:t>574/2007/EZ.</w:t>
      </w:r>
    </w:p>
    <w:tbl>
      <w:tblPr>
        <w:tblStyle w:val="StilTablice"/>
        <w:tblW w:w="10206" w:type="dxa"/>
        <w:jc w:val="center"/>
        <w:tblLook w:val="04A0" w:firstRow="1" w:lastRow="0" w:firstColumn="1" w:lastColumn="0" w:noHBand="0" w:noVBand="1"/>
      </w:tblPr>
      <w:tblGrid>
        <w:gridCol w:w="1474"/>
        <w:gridCol w:w="1568"/>
        <w:gridCol w:w="1577"/>
        <w:gridCol w:w="1545"/>
        <w:gridCol w:w="1536"/>
        <w:gridCol w:w="1536"/>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lastRenderedPageBreak/>
              <w:t>K553168</w:t>
            </w:r>
          </w:p>
        </w:tc>
        <w:tc>
          <w:tcPr>
            <w:tcW w:w="1632" w:type="dxa"/>
            <w:vAlign w:val="top"/>
          </w:tcPr>
          <w:p w:rsidR="00A46866" w:rsidRDefault="00F51091">
            <w:pPr>
              <w:jc w:val="right"/>
            </w:pPr>
            <w:r>
              <w:t>6.009.156</w:t>
            </w:r>
          </w:p>
        </w:tc>
        <w:tc>
          <w:tcPr>
            <w:tcW w:w="1632" w:type="dxa"/>
            <w:vAlign w:val="top"/>
          </w:tcPr>
          <w:p w:rsidR="00A46866" w:rsidRDefault="00F51091">
            <w:pPr>
              <w:jc w:val="right"/>
            </w:pPr>
            <w:r>
              <w:t>11.191.000</w:t>
            </w:r>
          </w:p>
        </w:tc>
        <w:tc>
          <w:tcPr>
            <w:tcW w:w="1632" w:type="dxa"/>
            <w:vAlign w:val="top"/>
          </w:tcPr>
          <w:p w:rsidR="00A46866" w:rsidRDefault="00F51091">
            <w:pPr>
              <w:jc w:val="right"/>
            </w:pPr>
            <w:r>
              <w:t>60.000</w:t>
            </w:r>
          </w:p>
        </w:tc>
        <w:tc>
          <w:tcPr>
            <w:tcW w:w="1632" w:type="dxa"/>
            <w:vAlign w:val="top"/>
          </w:tcPr>
          <w:p w:rsidR="00A46866" w:rsidRDefault="00F51091">
            <w:pPr>
              <w:jc w:val="right"/>
            </w:pPr>
            <w:r>
              <w:t>00</w:t>
            </w:r>
          </w:p>
        </w:tc>
        <w:tc>
          <w:tcPr>
            <w:tcW w:w="1632" w:type="dxa"/>
            <w:vAlign w:val="top"/>
          </w:tcPr>
          <w:p w:rsidR="00A46866" w:rsidRDefault="00F51091">
            <w:pPr>
              <w:jc w:val="right"/>
            </w:pPr>
            <w:r>
              <w:t>00</w:t>
            </w:r>
          </w:p>
        </w:tc>
        <w:tc>
          <w:tcPr>
            <w:tcW w:w="510" w:type="dxa"/>
            <w:vAlign w:val="top"/>
          </w:tcPr>
          <w:p w:rsidR="00A46866" w:rsidRDefault="00F51091">
            <w:pPr>
              <w:jc w:val="right"/>
            </w:pPr>
            <w:r>
              <w:t>0,5</w:t>
            </w:r>
          </w:p>
        </w:tc>
      </w:tr>
    </w:tbl>
    <w:p w:rsidR="00A46866" w:rsidRDefault="00A46866">
      <w:pPr>
        <w:jc w:val="left"/>
      </w:pPr>
    </w:p>
    <w:p w:rsidR="00A46866" w:rsidRDefault="00F51091">
      <w:r>
        <w:t xml:space="preserve">Projekt je usmjeren na ostvarenje cilja osiguranja visoke razine sigurnosti u Uniji uz istodobno olakšavanje </w:t>
      </w:r>
    </w:p>
    <w:p w:rsidR="00A46866" w:rsidRDefault="00F51091">
      <w:r>
        <w:t xml:space="preserve">zakonitog putovanja putem jedinstvene razine sigurnosti u Uniji uz istodobno olakšavanje zakonitog putovanja </w:t>
      </w:r>
    </w:p>
    <w:p w:rsidR="00A46866" w:rsidRDefault="00F51091">
      <w:r>
        <w:t xml:space="preserve">putem jedinstvene i visoke razine nadzora vanjskih granica i učinkovite obrade schengenskih viza u skladu s </w:t>
      </w:r>
    </w:p>
    <w:p w:rsidR="00A46866" w:rsidRDefault="00F51091">
      <w:r>
        <w:t xml:space="preserve">predanošću Unije temeljnim slobodama i ljudskim pravima. Projekti u okviru posebnih ciljeva nacionalnog </w:t>
      </w:r>
    </w:p>
    <w:p w:rsidR="00A46866" w:rsidRDefault="00F51091">
      <w:r>
        <w:t xml:space="preserve">programa fonda ISF se financiraju iz sredstava fonda u visini od 75% do 100% opravdanih troškova (ukupan iznos </w:t>
      </w:r>
    </w:p>
    <w:p w:rsidR="00A46866" w:rsidRDefault="00F51091">
      <w:r>
        <w:t xml:space="preserve">PDV-a je opravdani trošak) – Izvor 575 Fondovi za unutarnje poslove i sredstava proračuna Republike Hrvatske – </w:t>
      </w:r>
    </w:p>
    <w:p w:rsidR="00A46866" w:rsidRDefault="00F51091">
      <w:r>
        <w:t xml:space="preserve">Hrvatska sudjeluje u visini od 0% do 25% – Izvor 12 Sredstva učešća za pomoći. </w:t>
      </w:r>
    </w:p>
    <w:p w:rsidR="00A46866" w:rsidRDefault="00F51091">
      <w:r>
        <w:t xml:space="preserve">U 2023. godini je planirana realizacija dva potprojekta: 1. Nadogradnja informatičkog sustava za upravljanje državnom granicom za potrebe ETIAS sustava (vrijednost potprojekta iznosi 0,94 mil. eur - planirana su plaćanja u 5%-tnom iznosu vrijednosti potprojekta) i 2. Nabava mrežne opreme za potrebe Entry/Exit sustava (vrijednost potprojekta iznosi 1,028 mil. eur - planirana su plaćanja u 5%-tnom iznosu vrijednosti potprojekta). </w:t>
      </w:r>
    </w:p>
    <w:p w:rsidR="00A46866" w:rsidRDefault="00F51091">
      <w:r>
        <w:t xml:space="preserve">Predmetni Fond se nalazi u Višegodišnjem financijskom okviru koji se odnosi na razdoblje od 1. siječnja 2014. </w:t>
      </w:r>
    </w:p>
    <w:p w:rsidR="00A46866" w:rsidRDefault="00F51091">
      <w:r>
        <w:t xml:space="preserve">godine do 31. prosinca 2020. godine te isti se može koristiti do 30.06.2024. godine (trošak mora nastati do </w:t>
      </w:r>
    </w:p>
    <w:p w:rsidR="00A46866" w:rsidRDefault="00F51091">
      <w:r>
        <w:t>30.06.2024. godine i plaćanja se mogu izvršavati do 30. lipnja 2024. godine).</w:t>
      </w:r>
    </w:p>
    <w:p w:rsidR="00A46866" w:rsidRDefault="00F51091">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A46866">
        <w:trPr>
          <w:jc w:val="center"/>
        </w:trPr>
        <w:tc>
          <w:tcPr>
            <w:tcW w:w="2245" w:type="dxa"/>
            <w:shd w:val="clear" w:color="auto" w:fill="B5C0D8"/>
          </w:tcPr>
          <w:p w:rsidR="00A46866" w:rsidRDefault="00F51091">
            <w:pPr>
              <w:jc w:val="center"/>
            </w:pPr>
            <w:r>
              <w:t>Pokazatelj rezultata</w:t>
            </w:r>
          </w:p>
        </w:tc>
        <w:tc>
          <w:tcPr>
            <w:tcW w:w="2245" w:type="dxa"/>
            <w:shd w:val="clear" w:color="auto" w:fill="B5C0D8"/>
          </w:tcPr>
          <w:p w:rsidR="00A46866" w:rsidRDefault="00F51091">
            <w:pPr>
              <w:pStyle w:val="CellHeader"/>
              <w:jc w:val="center"/>
            </w:pPr>
            <w:r>
              <w:rPr>
                <w:rFonts w:cs="Times New Roman"/>
              </w:rPr>
              <w:t>Definicija</w:t>
            </w:r>
          </w:p>
        </w:tc>
        <w:tc>
          <w:tcPr>
            <w:tcW w:w="918" w:type="dxa"/>
            <w:shd w:val="clear" w:color="auto" w:fill="B5C0D8"/>
          </w:tcPr>
          <w:p w:rsidR="00A46866" w:rsidRDefault="00F51091">
            <w:pPr>
              <w:pStyle w:val="CellHeader"/>
              <w:jc w:val="center"/>
            </w:pPr>
            <w:r>
              <w:rPr>
                <w:rFonts w:cs="Times New Roman"/>
              </w:rPr>
              <w:t>Jedinica</w:t>
            </w:r>
          </w:p>
        </w:tc>
        <w:tc>
          <w:tcPr>
            <w:tcW w:w="918" w:type="dxa"/>
            <w:shd w:val="clear" w:color="auto" w:fill="B5C0D8"/>
          </w:tcPr>
          <w:p w:rsidR="00A46866" w:rsidRDefault="00F51091">
            <w:pPr>
              <w:pStyle w:val="CellHeader"/>
              <w:jc w:val="center"/>
            </w:pPr>
            <w:r>
              <w:rPr>
                <w:rFonts w:cs="Times New Roman"/>
              </w:rPr>
              <w:t>Polazna vrijednost</w:t>
            </w:r>
          </w:p>
        </w:tc>
        <w:tc>
          <w:tcPr>
            <w:tcW w:w="918" w:type="dxa"/>
            <w:shd w:val="clear" w:color="auto" w:fill="B5C0D8"/>
          </w:tcPr>
          <w:p w:rsidR="00A46866" w:rsidRDefault="00F51091">
            <w:pPr>
              <w:pStyle w:val="CellHeader"/>
              <w:jc w:val="center"/>
            </w:pPr>
            <w:r>
              <w:rPr>
                <w:rFonts w:cs="Times New Roman"/>
              </w:rPr>
              <w:t>Izvor podataka</w:t>
            </w:r>
          </w:p>
        </w:tc>
        <w:tc>
          <w:tcPr>
            <w:tcW w:w="918" w:type="dxa"/>
            <w:shd w:val="clear" w:color="auto" w:fill="B5C0D8"/>
          </w:tcPr>
          <w:p w:rsidR="00A46866" w:rsidRDefault="00F51091">
            <w:pPr>
              <w:pStyle w:val="CellHeader"/>
              <w:jc w:val="center"/>
            </w:pPr>
            <w:r>
              <w:rPr>
                <w:rFonts w:cs="Times New Roman"/>
              </w:rPr>
              <w:t>Ciljana vrijednost (2024.)</w:t>
            </w:r>
          </w:p>
        </w:tc>
        <w:tc>
          <w:tcPr>
            <w:tcW w:w="918" w:type="dxa"/>
            <w:shd w:val="clear" w:color="auto" w:fill="B5C0D8"/>
          </w:tcPr>
          <w:p w:rsidR="00A46866" w:rsidRDefault="00F51091">
            <w:pPr>
              <w:pStyle w:val="CellHeader"/>
              <w:jc w:val="center"/>
            </w:pPr>
            <w:r>
              <w:rPr>
                <w:rFonts w:cs="Times New Roman"/>
              </w:rPr>
              <w:t>Ciljana vrijednost (2025.)</w:t>
            </w:r>
          </w:p>
        </w:tc>
        <w:tc>
          <w:tcPr>
            <w:tcW w:w="918" w:type="dxa"/>
            <w:shd w:val="clear" w:color="auto" w:fill="B5C0D8"/>
          </w:tcPr>
          <w:p w:rsidR="00A46866" w:rsidRDefault="00F51091">
            <w:pPr>
              <w:pStyle w:val="CellHeader"/>
              <w:jc w:val="center"/>
            </w:pPr>
            <w:r>
              <w:rPr>
                <w:rFonts w:cs="Times New Roman"/>
              </w:rPr>
              <w:t>Ciljana vrijednost (2026.)</w:t>
            </w:r>
          </w:p>
        </w:tc>
      </w:tr>
      <w:tr w:rsidR="00A46866">
        <w:trPr>
          <w:jc w:val="center"/>
        </w:trPr>
        <w:tc>
          <w:tcPr>
            <w:tcW w:w="2245" w:type="dxa"/>
            <w:vAlign w:val="top"/>
          </w:tcPr>
          <w:p w:rsidR="00A46866" w:rsidRDefault="00F51091">
            <w:pPr>
              <w:pStyle w:val="CellColumn"/>
              <w:jc w:val="left"/>
            </w:pPr>
            <w:r>
              <w:rPr>
                <w:rFonts w:cs="Times New Roman"/>
              </w:rPr>
              <w:t xml:space="preserve">Broj graničnih prijelaza na </w:t>
            </w:r>
          </w:p>
          <w:p w:rsidR="00A46866" w:rsidRDefault="00F51091">
            <w:pPr>
              <w:pStyle w:val="CellColumn"/>
              <w:jc w:val="left"/>
            </w:pPr>
            <w:r>
              <w:rPr>
                <w:rFonts w:cs="Times New Roman"/>
              </w:rPr>
              <w:t xml:space="preserve">kojima je uspostavljen </w:t>
            </w:r>
          </w:p>
          <w:p w:rsidR="00A46866" w:rsidRDefault="00F51091">
            <w:pPr>
              <w:pStyle w:val="CellColumn"/>
              <w:jc w:val="left"/>
            </w:pPr>
            <w:r>
              <w:rPr>
                <w:rFonts w:cs="Times New Roman"/>
              </w:rPr>
              <w:t xml:space="preserve">sustav videonadzora </w:t>
            </w:r>
          </w:p>
          <w:p w:rsidR="00A46866" w:rsidRDefault="00F51091">
            <w:pPr>
              <w:pStyle w:val="CellColumn"/>
              <w:jc w:val="left"/>
            </w:pPr>
            <w:r>
              <w:rPr>
                <w:rFonts w:cs="Times New Roman"/>
              </w:rPr>
              <w:t xml:space="preserve">kontrole prolaza i </w:t>
            </w:r>
          </w:p>
          <w:p w:rsidR="00A46866" w:rsidRDefault="00F51091">
            <w:pPr>
              <w:pStyle w:val="CellColumn"/>
              <w:jc w:val="left"/>
            </w:pPr>
            <w:r>
              <w:rPr>
                <w:rFonts w:cs="Times New Roman"/>
              </w:rPr>
              <w:t xml:space="preserve">protuprovale na vanjskoj </w:t>
            </w:r>
          </w:p>
          <w:p w:rsidR="00A46866" w:rsidRDefault="00F51091">
            <w:pPr>
              <w:pStyle w:val="CellColumn"/>
              <w:jc w:val="left"/>
            </w:pPr>
            <w:r>
              <w:rPr>
                <w:rFonts w:cs="Times New Roman"/>
              </w:rPr>
              <w:t xml:space="preserve">granici </w:t>
            </w:r>
          </w:p>
          <w:p w:rsidR="00A46866" w:rsidRDefault="00F51091">
            <w:pPr>
              <w:pStyle w:val="CellColumn"/>
              <w:jc w:val="left"/>
            </w:pPr>
            <w:r>
              <w:rPr>
                <w:rFonts w:cs="Times New Roman"/>
              </w:rPr>
              <w:t>Uvođenjem</w:t>
            </w:r>
          </w:p>
        </w:tc>
        <w:tc>
          <w:tcPr>
            <w:tcW w:w="2245" w:type="dxa"/>
            <w:vAlign w:val="top"/>
          </w:tcPr>
          <w:p w:rsidR="00A46866" w:rsidRDefault="00F51091">
            <w:pPr>
              <w:pStyle w:val="CellColumn"/>
              <w:jc w:val="left"/>
            </w:pPr>
            <w:r>
              <w:rPr>
                <w:rFonts w:cs="Times New Roman"/>
              </w:rPr>
              <w:t xml:space="preserve">Uvođenjem sustava </w:t>
            </w:r>
          </w:p>
          <w:p w:rsidR="00A46866" w:rsidRDefault="00F51091">
            <w:pPr>
              <w:pStyle w:val="CellColumn"/>
              <w:jc w:val="left"/>
            </w:pPr>
            <w:r>
              <w:rPr>
                <w:rFonts w:cs="Times New Roman"/>
              </w:rPr>
              <w:t xml:space="preserve">videonadzora, kontrole </w:t>
            </w:r>
          </w:p>
          <w:p w:rsidR="00A46866" w:rsidRDefault="00F51091">
            <w:pPr>
              <w:pStyle w:val="CellColumn"/>
              <w:jc w:val="left"/>
            </w:pPr>
            <w:r>
              <w:rPr>
                <w:rFonts w:cs="Times New Roman"/>
              </w:rPr>
              <w:t xml:space="preserve">prolaza i protuprovalne na </w:t>
            </w:r>
          </w:p>
          <w:p w:rsidR="00A46866" w:rsidRDefault="00F51091">
            <w:pPr>
              <w:pStyle w:val="CellColumn"/>
              <w:jc w:val="left"/>
            </w:pPr>
            <w:r>
              <w:rPr>
                <w:rFonts w:cs="Times New Roman"/>
              </w:rPr>
              <w:t xml:space="preserve">vanjskoj granici olakšat će </w:t>
            </w:r>
          </w:p>
          <w:p w:rsidR="00A46866" w:rsidRDefault="00F51091">
            <w:pPr>
              <w:pStyle w:val="CellColumn"/>
              <w:jc w:val="left"/>
            </w:pPr>
            <w:r>
              <w:rPr>
                <w:rFonts w:cs="Times New Roman"/>
              </w:rPr>
              <w:t xml:space="preserve">se zakonito putovanje </w:t>
            </w:r>
          </w:p>
          <w:p w:rsidR="00A46866" w:rsidRDefault="00F51091">
            <w:pPr>
              <w:pStyle w:val="CellColumn"/>
              <w:jc w:val="left"/>
            </w:pPr>
            <w:r>
              <w:rPr>
                <w:rFonts w:cs="Times New Roman"/>
              </w:rPr>
              <w:t xml:space="preserve">preko vanjske granice, kao </w:t>
            </w:r>
          </w:p>
          <w:p w:rsidR="00A46866" w:rsidRDefault="00F51091">
            <w:pPr>
              <w:pStyle w:val="CellColumn"/>
              <w:jc w:val="left"/>
            </w:pPr>
            <w:r>
              <w:rPr>
                <w:rFonts w:cs="Times New Roman"/>
              </w:rPr>
              <w:t xml:space="preserve">i osigurati veća sigurnost </w:t>
            </w:r>
          </w:p>
          <w:p w:rsidR="00A46866" w:rsidRDefault="00F51091">
            <w:pPr>
              <w:pStyle w:val="CellColumn"/>
              <w:jc w:val="left"/>
            </w:pPr>
            <w:r>
              <w:rPr>
                <w:rFonts w:cs="Times New Roman"/>
              </w:rPr>
              <w:t xml:space="preserve">prostora Republike </w:t>
            </w:r>
          </w:p>
          <w:p w:rsidR="00A46866" w:rsidRDefault="00F51091">
            <w:pPr>
              <w:pStyle w:val="CellColumn"/>
              <w:jc w:val="left"/>
            </w:pPr>
            <w:r>
              <w:rPr>
                <w:rFonts w:cs="Times New Roman"/>
              </w:rPr>
              <w:t>Hrvatske i Europske unije</w:t>
            </w:r>
          </w:p>
        </w:tc>
        <w:tc>
          <w:tcPr>
            <w:tcW w:w="918" w:type="dxa"/>
          </w:tcPr>
          <w:p w:rsidR="00A46866" w:rsidRDefault="00F51091">
            <w:pPr>
              <w:jc w:val="center"/>
            </w:pPr>
            <w:r>
              <w:t xml:space="preserve">broj </w:t>
            </w:r>
          </w:p>
          <w:p w:rsidR="00A46866" w:rsidRDefault="00F51091">
            <w:pPr>
              <w:jc w:val="center"/>
            </w:pPr>
            <w:r>
              <w:t xml:space="preserve">(kumulat </w:t>
            </w:r>
          </w:p>
          <w:p w:rsidR="00A46866" w:rsidRDefault="00F51091">
            <w:pPr>
              <w:jc w:val="center"/>
            </w:pPr>
            <w:r>
              <w:t>ivo)</w:t>
            </w:r>
          </w:p>
        </w:tc>
        <w:tc>
          <w:tcPr>
            <w:tcW w:w="918" w:type="dxa"/>
          </w:tcPr>
          <w:p w:rsidR="00A46866" w:rsidRDefault="00F51091">
            <w:pPr>
              <w:jc w:val="center"/>
            </w:pPr>
            <w:r>
              <w:t>44</w:t>
            </w:r>
          </w:p>
        </w:tc>
        <w:tc>
          <w:tcPr>
            <w:tcW w:w="918" w:type="dxa"/>
          </w:tcPr>
          <w:p w:rsidR="00A46866" w:rsidRDefault="00F51091">
            <w:pPr>
              <w:pStyle w:val="CellColumn"/>
              <w:jc w:val="center"/>
            </w:pPr>
            <w:r>
              <w:rPr>
                <w:rFonts w:cs="Times New Roman"/>
              </w:rPr>
              <w:t>MUP</w:t>
            </w:r>
          </w:p>
        </w:tc>
        <w:tc>
          <w:tcPr>
            <w:tcW w:w="918" w:type="dxa"/>
          </w:tcPr>
          <w:p w:rsidR="00A46866" w:rsidRDefault="00F51091">
            <w:pPr>
              <w:jc w:val="center"/>
            </w:pPr>
            <w:r>
              <w:t>48</w:t>
            </w:r>
          </w:p>
        </w:tc>
        <w:tc>
          <w:tcPr>
            <w:tcW w:w="918" w:type="dxa"/>
          </w:tcPr>
          <w:p w:rsidR="00A46866" w:rsidRDefault="00F51091">
            <w:pPr>
              <w:jc w:val="center"/>
            </w:pPr>
            <w:r>
              <w:t>52</w:t>
            </w:r>
          </w:p>
        </w:tc>
        <w:tc>
          <w:tcPr>
            <w:tcW w:w="918" w:type="dxa"/>
          </w:tcPr>
          <w:p w:rsidR="00A46866" w:rsidRDefault="00F51091">
            <w:pPr>
              <w:jc w:val="center"/>
            </w:pPr>
            <w:r>
              <w:t>56</w:t>
            </w:r>
          </w:p>
        </w:tc>
      </w:tr>
    </w:tbl>
    <w:p w:rsidR="00A46866" w:rsidRDefault="00A46866">
      <w:pPr>
        <w:jc w:val="left"/>
      </w:pPr>
    </w:p>
    <w:p w:rsidR="00A46866" w:rsidRDefault="00F51091">
      <w:pPr>
        <w:pStyle w:val="Naslov4"/>
      </w:pPr>
      <w:r>
        <w:t>K863024 FOND ZA INTEGRIRANO UPRAVLJANJE GRANICAMA - INSTRUMENT ZA FINANCIJSKU POTPORU U PODRUČJU UPRAVLJANJA GRANICAMA I VIZNE POLITIKE 2021.-2027.</w:t>
      </w:r>
    </w:p>
    <w:p w:rsidR="00A46866" w:rsidRDefault="00F51091">
      <w:pPr>
        <w:pStyle w:val="Naslov8"/>
        <w:jc w:val="left"/>
      </w:pPr>
      <w:r>
        <w:t>Zakonske i druge pravne osnove</w:t>
      </w:r>
    </w:p>
    <w:p w:rsidR="00A46866" w:rsidRDefault="00F51091">
      <w:r>
        <w:t xml:space="preserve">Uredba (EU) 2021/1148 Europskog parlamenta i Vijeća od 7. srpnja 2021. o uspostavi, u okviru Fonda za </w:t>
      </w:r>
    </w:p>
    <w:p w:rsidR="00A46866" w:rsidRDefault="00F51091">
      <w:r>
        <w:t xml:space="preserve">integrirano upravljanje granicama, Instrumenta za financijsku potporu u području upravljanja granicama i vizne </w:t>
      </w:r>
    </w:p>
    <w:p w:rsidR="00A46866" w:rsidRDefault="00F51091">
      <w:r>
        <w:t>politike.</w:t>
      </w:r>
    </w:p>
    <w:tbl>
      <w:tblPr>
        <w:tblStyle w:val="StilTablice"/>
        <w:tblW w:w="10206" w:type="dxa"/>
        <w:jc w:val="center"/>
        <w:tblLook w:val="04A0" w:firstRow="1" w:lastRow="0" w:firstColumn="1" w:lastColumn="0" w:noHBand="0" w:noVBand="1"/>
      </w:tblPr>
      <w:tblGrid>
        <w:gridCol w:w="1458"/>
        <w:gridCol w:w="1542"/>
        <w:gridCol w:w="1550"/>
        <w:gridCol w:w="1562"/>
        <w:gridCol w:w="1562"/>
        <w:gridCol w:w="1562"/>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K863024</w:t>
            </w:r>
          </w:p>
        </w:tc>
        <w:tc>
          <w:tcPr>
            <w:tcW w:w="1632" w:type="dxa"/>
            <w:vAlign w:val="top"/>
          </w:tcPr>
          <w:p w:rsidR="00A46866" w:rsidRDefault="00F51091">
            <w:pPr>
              <w:jc w:val="right"/>
            </w:pPr>
            <w:r>
              <w:t>00</w:t>
            </w:r>
          </w:p>
        </w:tc>
        <w:tc>
          <w:tcPr>
            <w:tcW w:w="1632" w:type="dxa"/>
            <w:vAlign w:val="top"/>
          </w:tcPr>
          <w:p w:rsidR="00A46866" w:rsidRDefault="00F51091">
            <w:pPr>
              <w:jc w:val="right"/>
            </w:pPr>
            <w:r>
              <w:t>3.466.000</w:t>
            </w:r>
          </w:p>
        </w:tc>
        <w:tc>
          <w:tcPr>
            <w:tcW w:w="1632" w:type="dxa"/>
            <w:vAlign w:val="top"/>
          </w:tcPr>
          <w:p w:rsidR="00A46866" w:rsidRDefault="00F51091">
            <w:pPr>
              <w:jc w:val="right"/>
            </w:pPr>
            <w:r>
              <w:t>20.980.000</w:t>
            </w:r>
          </w:p>
        </w:tc>
        <w:tc>
          <w:tcPr>
            <w:tcW w:w="1632" w:type="dxa"/>
            <w:vAlign w:val="top"/>
          </w:tcPr>
          <w:p w:rsidR="00A46866" w:rsidRDefault="00F51091">
            <w:pPr>
              <w:jc w:val="right"/>
            </w:pPr>
            <w:r>
              <w:t>43.400.000</w:t>
            </w:r>
          </w:p>
        </w:tc>
        <w:tc>
          <w:tcPr>
            <w:tcW w:w="1632" w:type="dxa"/>
            <w:vAlign w:val="top"/>
          </w:tcPr>
          <w:p w:rsidR="00A46866" w:rsidRDefault="00F51091">
            <w:pPr>
              <w:jc w:val="right"/>
            </w:pPr>
            <w:r>
              <w:t>40.906.000</w:t>
            </w:r>
          </w:p>
        </w:tc>
        <w:tc>
          <w:tcPr>
            <w:tcW w:w="510" w:type="dxa"/>
            <w:vAlign w:val="top"/>
          </w:tcPr>
          <w:p w:rsidR="00A46866" w:rsidRDefault="00F51091">
            <w:pPr>
              <w:jc w:val="right"/>
            </w:pPr>
            <w:r>
              <w:t>605,3</w:t>
            </w:r>
          </w:p>
        </w:tc>
      </w:tr>
    </w:tbl>
    <w:p w:rsidR="00A46866" w:rsidRDefault="00A46866">
      <w:pPr>
        <w:jc w:val="left"/>
      </w:pPr>
    </w:p>
    <w:p w:rsidR="00A46866" w:rsidRDefault="00F51091">
      <w:r>
        <w:lastRenderedPageBreak/>
        <w:t xml:space="preserve">Projekt je usmjeren na ostvarenje cilja osiguranja visoke razine sigurnosti u Uniji uz istodobno olakšavanje </w:t>
      </w:r>
    </w:p>
    <w:p w:rsidR="00A46866" w:rsidRDefault="00F51091">
      <w:r>
        <w:t xml:space="preserve">zakonitog putovanja putem jedinstvene razine sigurnosti u Uniji uz istodobno olakšavanje zakonitog putovanja </w:t>
      </w:r>
    </w:p>
    <w:p w:rsidR="00A46866" w:rsidRDefault="00F51091">
      <w:r>
        <w:t xml:space="preserve">putem jedinstvene i visoke razine nadzora vanjskih granica i učinkovite obrade schengenskih viza u skladu s </w:t>
      </w:r>
    </w:p>
    <w:p w:rsidR="00A46866" w:rsidRDefault="00F51091">
      <w:r>
        <w:t xml:space="preserve">predanošću Unije temeljnim slobodama i ljudskim pravima. </w:t>
      </w:r>
    </w:p>
    <w:p w:rsidR="00A46866" w:rsidRDefault="00F51091">
      <w:r>
        <w:t xml:space="preserve">Od 2023. godine je krenuo novi Višegodišnji financijski okvir za razdoblje od 2021. do 2027. godine. U financijskim planu za razdoblje 2024. - 2026. godinu predviđena su financijska sredstva od strane Upravljačkog tijela, a koja se odnosie na naredni Višegodišnji financijski okvir. </w:t>
      </w:r>
    </w:p>
    <w:p w:rsidR="00A46866" w:rsidRDefault="00F51091">
      <w:r>
        <w:t xml:space="preserve">2024. godini je planirana realizacija 15 potprojekata: 1. Nezavisni mehanizam nadzora zaštite temeljnih prava u postupanju pol. službenika MUP-a u području zaštite granice, nezakonitih migracija i međunarodne zaštite (vrijednost potprojekta je 0,345 mil.eur, očekuje se završno plaćanje u 10%-tnom iznosu vrijednosti potprojekta), 2. Nabava operativne opreme za graničnu kontrolu za potrebe EES-a (vrijednost potprojekta iznosi 13,4 mil. eur, očekuje se plaćanje u 80%-tnom iznosu vrijednosti potprojekta), 3. Razvoj Schengenskog informacijskog sustava (vrijednost potprojekta iznosi 2,65 mil. eur, očekuje se plaćanje u 10%-tnom iznosu vrijednosti potprojekta). 4. Održavanje Schengenskog informacijskog sustava (vrijednost potprojekta iznosi 3,9 mil. eur, očekuje se plaćanje u 10%-tnom iznosu vrijednosti potprojekta), 5. Nabava specijalizirane opreme za nadzor državne granice - sustavi mobilnih termovizijskih kamera na prikolicama i terenska vozila (vrijednost potprojekta iznosi 7 mil. eur, očekuje se plaćanje u 20%-tnom iznosu projekta), 6. Uspostava sustava automatizirane granične kontrole u zračnim lukama (ABC sustav) (vrijednost potprojekta iznosi 4,1 mil. eur, očekuje se plaćanje u 20%-tnom iznosu vrijednosti potprojekta), 7. Nabava stacionarnih sustava za nadzor vanjske granice Europske unije (vrijednost potprojekta iznosi 6,9 mil.eur, očekuje se plaćanje u 40%-tnom iznosu vrijednosti potprojekta), 8. Nabava potrošnog materijala za potrebe rada i održavanja uređaja za detekciju droga i eksploziva 2023.-2026. (vrijednost poptrojekta iznosi 1,12 mil.eur, očekuje se plaćanje u  15%-tnom iznosu vrijednosti potprojekta), 8. Održavanje sigurnog informacijskog sustava za upravljanje državnom granicom (NBMIS) (vrijednosti potprojekta iznosi 5,3 mil.eur, očekuje se plaćanje u 15%-tnom iznosu vrijednosti potprojekta), 9. Nabava pogonskog goriva za plovila za nadzor državne granice na moru 2023.-2024. (vrijednost potprojekta iznosi 0,6 mil.eur, očekuje se plaćanje u 40%-tnom iznosu vrijednosti potprojekta),10. Održavanje plovila za nadzor državne granice na moru i rijekama za 2023.-2025. (vrijednost potprojekta iznosi 2,6 mil.eur, očekuje se plaćanje u 30%-tnom iznosu vrijednosti potprojekta), 11. Redovno održavanje Podsustava za nadzor državne granice na moru (PNDGM) 2023.-2025. (vrijednost potprojekta iznosi 2,2 mil.eur, očekuje se plaćanje u 35%tnom iznosu vrijednosti potprojekta), 12. Osiguranje dnevnog obroka policijskim službenicima na terenu za nadzor vanjske granice EU-a (vrijednost potprojekta iznosi 0,832 mil.eur, očekuje se plaćanje u 40%-tnom iznosu vrijednosti potprojekta), 13. Troškovi terenskog rada, dnevnica i prekovremenog rada pol. službenika pri nadzoru vanjske granice EU (ukupna vrijednost potprojekta iznosi 4,174 mil.eur, očekuje se plaćanje u 50%-tnom iznosu vrijednosti potprojekta), 14. Priprema HR SIRENE ureda i krajnjih korisnika za implementaciju interoperabilnosti (vrijednosti potprojekta iznosi 1,09 mil.eur, očekuje se plaćanje u 30%-tnom iznosu vrijednosti potprojekta) i 15. Jačanje nacionalnih i FRONTEX-ovih kapaciteta za nadzor vanjske granice EU (ukupna vrijednost potprojekta iznosi 19,066 mil.eur, očekuje se plaćanje u 20%-tnom iznosu vrijednosti potprojekta). </w:t>
      </w:r>
    </w:p>
    <w:p w:rsidR="00A46866" w:rsidRDefault="00F51091">
      <w:r>
        <w:t>U 2025. godini je planirana realizacija    potprojekata: 1.</w:t>
      </w:r>
    </w:p>
    <w:p w:rsidR="00A46866" w:rsidRDefault="00F51091">
      <w:pPr>
        <w:pStyle w:val="Naslov4"/>
      </w:pPr>
      <w:r>
        <w:t>A553101 HRVATSKA GORSKA SLUŽBA SPAŠAVANJA</w:t>
      </w:r>
    </w:p>
    <w:p w:rsidR="00A46866" w:rsidRDefault="00F51091">
      <w:pPr>
        <w:pStyle w:val="Naslov8"/>
        <w:jc w:val="left"/>
      </w:pPr>
      <w:r>
        <w:t>Zakonske i druge pravne osnove</w:t>
      </w:r>
    </w:p>
    <w:p w:rsidR="00A46866" w:rsidRDefault="00F51091">
      <w:r>
        <w:t xml:space="preserve">Zakon o Hrvatskoj gorskoj službi spašavanja, Ugovor o izravnoj dodjeli financijskih sredstava Hrvatskoj </w:t>
      </w:r>
    </w:p>
    <w:p w:rsidR="00A46866" w:rsidRDefault="00F51091">
      <w:r>
        <w:t>gorskoj službi spašavanja koji se sklapa za svaku godinu.</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A553101</w:t>
            </w:r>
          </w:p>
        </w:tc>
        <w:tc>
          <w:tcPr>
            <w:tcW w:w="1632" w:type="dxa"/>
            <w:vAlign w:val="top"/>
          </w:tcPr>
          <w:p w:rsidR="00A46866" w:rsidRDefault="00F51091">
            <w:pPr>
              <w:jc w:val="right"/>
            </w:pPr>
            <w:r>
              <w:t>1.592.674</w:t>
            </w:r>
          </w:p>
        </w:tc>
        <w:tc>
          <w:tcPr>
            <w:tcW w:w="1632" w:type="dxa"/>
            <w:vAlign w:val="top"/>
          </w:tcPr>
          <w:p w:rsidR="00A46866" w:rsidRDefault="00F51091">
            <w:pPr>
              <w:jc w:val="right"/>
            </w:pPr>
            <w:r>
              <w:t>1.592.700</w:t>
            </w:r>
          </w:p>
        </w:tc>
        <w:tc>
          <w:tcPr>
            <w:tcW w:w="1632" w:type="dxa"/>
            <w:vAlign w:val="top"/>
          </w:tcPr>
          <w:p w:rsidR="00A46866" w:rsidRDefault="00F51091">
            <w:pPr>
              <w:jc w:val="right"/>
            </w:pPr>
            <w:r>
              <w:t>1.592.700</w:t>
            </w:r>
          </w:p>
        </w:tc>
        <w:tc>
          <w:tcPr>
            <w:tcW w:w="1632" w:type="dxa"/>
            <w:vAlign w:val="top"/>
          </w:tcPr>
          <w:p w:rsidR="00A46866" w:rsidRDefault="00F51091">
            <w:pPr>
              <w:jc w:val="right"/>
            </w:pPr>
            <w:r>
              <w:t>1.592.700</w:t>
            </w:r>
          </w:p>
        </w:tc>
        <w:tc>
          <w:tcPr>
            <w:tcW w:w="1632" w:type="dxa"/>
            <w:vAlign w:val="top"/>
          </w:tcPr>
          <w:p w:rsidR="00A46866" w:rsidRDefault="00F51091">
            <w:pPr>
              <w:jc w:val="right"/>
            </w:pPr>
            <w:r>
              <w:t>1.592.700</w:t>
            </w:r>
          </w:p>
        </w:tc>
        <w:tc>
          <w:tcPr>
            <w:tcW w:w="510" w:type="dxa"/>
            <w:vAlign w:val="top"/>
          </w:tcPr>
          <w:p w:rsidR="00A46866" w:rsidRDefault="00F51091">
            <w:pPr>
              <w:jc w:val="right"/>
            </w:pPr>
            <w:r>
              <w:t>100,0</w:t>
            </w:r>
          </w:p>
        </w:tc>
      </w:tr>
    </w:tbl>
    <w:p w:rsidR="00A46866" w:rsidRDefault="00A46866">
      <w:pPr>
        <w:jc w:val="left"/>
      </w:pPr>
    </w:p>
    <w:p w:rsidR="00A46866" w:rsidRDefault="00F51091">
      <w:r>
        <w:t xml:space="preserve">Temeljem Zakona o Hrvatskoj gorskoj službi za spašavanja (HGSS-u), HGSS obavlja djelatnost od interesa za </w:t>
      </w:r>
    </w:p>
    <w:p w:rsidR="00A46866" w:rsidRDefault="00F51091">
      <w:r>
        <w:t xml:space="preserve">Republiku Hrvatsku. Iz godine u godinu drastično raste broj traganja i spašavanja i angažiranost zbog ugroza </w:t>
      </w:r>
    </w:p>
    <w:p w:rsidR="00A46866" w:rsidRDefault="00F51091">
      <w:r>
        <w:t xml:space="preserve">uzrokovanih klimatskim promjenama te rastu zadaće preventive i pripreme. Temeljem Ugovora Hrvatskoj gorskoj </w:t>
      </w:r>
    </w:p>
    <w:p w:rsidR="00A46866" w:rsidRDefault="00F51091">
      <w:r>
        <w:lastRenderedPageBreak/>
        <w:t>službi za spašavanje uplaćeno je 929.000 eur / 58,3% tekućih donacija i 663.700 eur / 41,7% kapitalnih donacija. Za naredne dvije godine planirani su troškovi kao i za 2024. godinu.</w:t>
      </w:r>
    </w:p>
    <w:p w:rsidR="00A46866" w:rsidRDefault="00F51091">
      <w:pPr>
        <w:pStyle w:val="Naslov4"/>
      </w:pPr>
      <w:r>
        <w:t>A879008 SUSTAV CIVILNE ZAŠTITE</w:t>
      </w:r>
    </w:p>
    <w:p w:rsidR="00A46866" w:rsidRDefault="00F51091">
      <w:pPr>
        <w:pStyle w:val="Naslov8"/>
        <w:jc w:val="left"/>
      </w:pPr>
      <w:r>
        <w:t>Zakonske i druge pravne osnove</w:t>
      </w:r>
    </w:p>
    <w:p w:rsidR="00A46866" w:rsidRDefault="00F51091">
      <w:r>
        <w:t xml:space="preserve">Zakon o sustavu civilne zaštite, Okvir za smanjenje rizika od katastrofa iz Sendaija za period 2015.–2030, Čl. 68. </w:t>
      </w:r>
    </w:p>
    <w:p w:rsidR="00A46866" w:rsidRDefault="00F51091">
      <w:r>
        <w:t xml:space="preserve">Zakona o radiološkoj i nuklearnoj sigurnosti, Pravilnik o praćenju stanja radioaktivnosti u okolišu, Akcijski plan za </w:t>
      </w:r>
    </w:p>
    <w:p w:rsidR="00A46866" w:rsidRDefault="00F51091">
      <w:r>
        <w:t xml:space="preserve">radon za razdoblje 2019.-2024., čl. 7. Zakona o radiološkoj i nuklearnoj sigurnosti i Zajedničke konvencije o </w:t>
      </w:r>
    </w:p>
    <w:p w:rsidR="00A46866" w:rsidRDefault="00F51091">
      <w:r>
        <w:t xml:space="preserve">sigurnosti zbrinjavanja istrošenog goriva i sigurnosti zbrinjavanja radioaktivnog otpada, Pravilnik o nuklearnom </w:t>
      </w:r>
    </w:p>
    <w:p w:rsidR="00A46866" w:rsidRDefault="00F51091">
      <w:r>
        <w:t xml:space="preserve">osiguranju, Sporazum između RH i IAEA o primjeni garancije u svezi s Ugovorom o neširenju nuklearnog oružja, </w:t>
      </w:r>
    </w:p>
    <w:p w:rsidR="00A46866" w:rsidRDefault="00F51091">
      <w:r>
        <w:t xml:space="preserve">Dodatni protokol uz sporazum između RH i IAEA o promjeni garancija u svezi s Ugovorom o neširenju nuklearnog </w:t>
      </w:r>
    </w:p>
    <w:p w:rsidR="00A46866" w:rsidRDefault="00F51091">
      <w:r>
        <w:t xml:space="preserve">oružja. Sukladno zaključku Vlade Republike Hrvatske donesenom na 264. sjednici održanoj 5.11.2015. te Zaključku </w:t>
      </w:r>
    </w:p>
    <w:p w:rsidR="00A46866" w:rsidRDefault="00F51091">
      <w:r>
        <w:t xml:space="preserve">Vlade Republike Hrvatske o smanjenju broja agencija, zavoda, fondova, institucija, zaklada, trgovačkih društava i </w:t>
      </w:r>
    </w:p>
    <w:p w:rsidR="00A46866" w:rsidRDefault="00F51091">
      <w:r>
        <w:t xml:space="preserve">drugih pravnih osoba s javnim ovlastima iz nadležnosti Ministarstva unutarnjih poslova, od 2. kolovoza 2018. </w:t>
      </w:r>
    </w:p>
    <w:p w:rsidR="00A46866" w:rsidRDefault="00F51091">
      <w:r>
        <w:t xml:space="preserve">godine plan je prilagoditi normativni okvir radiološke i nuklearne sigurnosti na nacionalnoj razini u skladu sa </w:t>
      </w:r>
    </w:p>
    <w:p w:rsidR="00A46866" w:rsidRDefault="00F51091">
      <w:r>
        <w:t>međunarodnim zahtjevima.</w:t>
      </w:r>
    </w:p>
    <w:tbl>
      <w:tblPr>
        <w:tblStyle w:val="StilTablice"/>
        <w:tblW w:w="10206" w:type="dxa"/>
        <w:jc w:val="center"/>
        <w:tblLook w:val="04A0" w:firstRow="1" w:lastRow="0" w:firstColumn="1" w:lastColumn="0" w:noHBand="0" w:noVBand="1"/>
      </w:tblPr>
      <w:tblGrid>
        <w:gridCol w:w="1460"/>
        <w:gridCol w:w="1564"/>
        <w:gridCol w:w="1553"/>
        <w:gridCol w:w="1553"/>
        <w:gridCol w:w="1553"/>
        <w:gridCol w:w="1553"/>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A879008</w:t>
            </w:r>
          </w:p>
        </w:tc>
        <w:tc>
          <w:tcPr>
            <w:tcW w:w="1632" w:type="dxa"/>
            <w:vAlign w:val="top"/>
          </w:tcPr>
          <w:p w:rsidR="00A46866" w:rsidRDefault="00F51091">
            <w:pPr>
              <w:jc w:val="right"/>
            </w:pPr>
            <w:r>
              <w:t>12.630.136</w:t>
            </w:r>
          </w:p>
        </w:tc>
        <w:tc>
          <w:tcPr>
            <w:tcW w:w="1632" w:type="dxa"/>
            <w:vAlign w:val="top"/>
          </w:tcPr>
          <w:p w:rsidR="00A46866" w:rsidRDefault="00F51091">
            <w:pPr>
              <w:jc w:val="right"/>
            </w:pPr>
            <w:r>
              <w:t>7.623.000</w:t>
            </w:r>
          </w:p>
        </w:tc>
        <w:tc>
          <w:tcPr>
            <w:tcW w:w="1632" w:type="dxa"/>
            <w:vAlign w:val="top"/>
          </w:tcPr>
          <w:p w:rsidR="00A46866" w:rsidRDefault="00F51091">
            <w:pPr>
              <w:jc w:val="right"/>
            </w:pPr>
            <w:r>
              <w:t>3.783.000</w:t>
            </w:r>
          </w:p>
        </w:tc>
        <w:tc>
          <w:tcPr>
            <w:tcW w:w="1632" w:type="dxa"/>
            <w:vAlign w:val="top"/>
          </w:tcPr>
          <w:p w:rsidR="00A46866" w:rsidRDefault="00F51091">
            <w:pPr>
              <w:jc w:val="right"/>
            </w:pPr>
            <w:r>
              <w:t>2.086.000</w:t>
            </w:r>
          </w:p>
        </w:tc>
        <w:tc>
          <w:tcPr>
            <w:tcW w:w="1632" w:type="dxa"/>
            <w:vAlign w:val="top"/>
          </w:tcPr>
          <w:p w:rsidR="00A46866" w:rsidRDefault="00F51091">
            <w:pPr>
              <w:jc w:val="right"/>
            </w:pPr>
            <w:r>
              <w:t>2.086.000</w:t>
            </w:r>
          </w:p>
        </w:tc>
        <w:tc>
          <w:tcPr>
            <w:tcW w:w="510" w:type="dxa"/>
            <w:vAlign w:val="top"/>
          </w:tcPr>
          <w:p w:rsidR="00A46866" w:rsidRDefault="00F51091">
            <w:pPr>
              <w:jc w:val="right"/>
            </w:pPr>
            <w:r>
              <w:t>49,6</w:t>
            </w:r>
          </w:p>
        </w:tc>
      </w:tr>
    </w:tbl>
    <w:p w:rsidR="00A46866" w:rsidRDefault="00A46866">
      <w:pPr>
        <w:jc w:val="left"/>
      </w:pPr>
    </w:p>
    <w:p w:rsidR="00A46866" w:rsidRDefault="00F51091">
      <w:r>
        <w:t xml:space="preserve">Sustav civilne zaštite u Republici Hrvatskoj kompleksan je po sastavu i spremnosti te zahtjeva visoku razinu </w:t>
      </w:r>
    </w:p>
    <w:p w:rsidR="00A46866" w:rsidRDefault="00F51091">
      <w:r>
        <w:t xml:space="preserve">koordinacije i integracije. Provođenjem temeljnih aktivnosti integrira sve sastavnice što izravno rezultira izradom </w:t>
      </w:r>
    </w:p>
    <w:p w:rsidR="00A46866" w:rsidRDefault="00F51091">
      <w:r>
        <w:t xml:space="preserve">potrebnih podloga za izgradnju i jačanje namjenskih operativnih snaga za reagiranje u velikim nesrećama i katastrofama. Maksimalnu učinkovitost sustava moguće je postići optimalnom integracijom svih kapaciteta, od </w:t>
      </w:r>
    </w:p>
    <w:p w:rsidR="00A46866" w:rsidRDefault="00F51091">
      <w:r>
        <w:t>područja prevencije, planiranja do reagiranja. Kroz aktivnost planirana su sredstva za usluge tekućeg i investicijskog održavanja 334.000 eur / 8,8%, ostale usluge 381.000 eur / 10,1%, uređaji, strojevi i oprema za ostale namjene 1.883.000 eur / 49,8% te se ostali troškovi odnose na službenu, radnu i zaštitnu odjeću i obuću, intelektualne i osobne usluge, uredsku opremu i namještaj i naknade troškova osobama izvan radnog odnosa. Za naredne dvije godine planirani su troškovi kao i za 2024. godinu izuzevši troškova za uređaje, strojeve i opremu za ostale namjene koji su planirani u iznosu od 210.000 po godini.</w:t>
      </w:r>
    </w:p>
    <w:p w:rsidR="00A46866" w:rsidRDefault="00F51091">
      <w:pPr>
        <w:pStyle w:val="Naslov4"/>
      </w:pPr>
      <w:r>
        <w:t>A879027 HRVATSKI CRVENI KRIŽ</w:t>
      </w:r>
    </w:p>
    <w:p w:rsidR="00A46866" w:rsidRDefault="00F51091">
      <w:pPr>
        <w:pStyle w:val="Naslov8"/>
        <w:jc w:val="left"/>
      </w:pPr>
      <w:r>
        <w:t>Zakonske i druge pravne osnove</w:t>
      </w:r>
    </w:p>
    <w:p w:rsidR="00A46866" w:rsidRDefault="00F51091">
      <w:r>
        <w:t xml:space="preserve">Članak 27. Zakona o hrvatskom crvenom križu, financiranje može biti iz državnog proračuna i to za izvršavanje </w:t>
      </w:r>
    </w:p>
    <w:p w:rsidR="00A46866" w:rsidRDefault="00F51091">
      <w:r>
        <w:t>poslova koje Hrvatski crveni križ obavlja na temelju javnih ovlasti (članak 8. i 9. Zakona).</w:t>
      </w:r>
    </w:p>
    <w:tbl>
      <w:tblPr>
        <w:tblStyle w:val="StilTablice"/>
        <w:tblW w:w="10206" w:type="dxa"/>
        <w:jc w:val="center"/>
        <w:tblLook w:val="04A0" w:firstRow="1" w:lastRow="0" w:firstColumn="1" w:lastColumn="0" w:noHBand="0" w:noVBand="1"/>
      </w:tblPr>
      <w:tblGrid>
        <w:gridCol w:w="1473"/>
        <w:gridCol w:w="1559"/>
        <w:gridCol w:w="1551"/>
        <w:gridCol w:w="1551"/>
        <w:gridCol w:w="1551"/>
        <w:gridCol w:w="1551"/>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A879027</w:t>
            </w:r>
          </w:p>
        </w:tc>
        <w:tc>
          <w:tcPr>
            <w:tcW w:w="1632" w:type="dxa"/>
            <w:vAlign w:val="top"/>
          </w:tcPr>
          <w:p w:rsidR="00A46866" w:rsidRDefault="00F51091">
            <w:pPr>
              <w:jc w:val="right"/>
            </w:pPr>
            <w:r>
              <w:t>00</w:t>
            </w:r>
          </w:p>
        </w:tc>
        <w:tc>
          <w:tcPr>
            <w:tcW w:w="1632" w:type="dxa"/>
            <w:vAlign w:val="top"/>
          </w:tcPr>
          <w:p w:rsidR="00A46866" w:rsidRDefault="00F51091">
            <w:pPr>
              <w:jc w:val="right"/>
            </w:pPr>
            <w:r>
              <w:t>796.400</w:t>
            </w:r>
          </w:p>
        </w:tc>
        <w:tc>
          <w:tcPr>
            <w:tcW w:w="1632" w:type="dxa"/>
            <w:vAlign w:val="top"/>
          </w:tcPr>
          <w:p w:rsidR="00A46866" w:rsidRDefault="00F51091">
            <w:pPr>
              <w:jc w:val="right"/>
            </w:pPr>
            <w:r>
              <w:t>796.400</w:t>
            </w:r>
          </w:p>
        </w:tc>
        <w:tc>
          <w:tcPr>
            <w:tcW w:w="1632" w:type="dxa"/>
            <w:vAlign w:val="top"/>
          </w:tcPr>
          <w:p w:rsidR="00A46866" w:rsidRDefault="00F51091">
            <w:pPr>
              <w:jc w:val="right"/>
            </w:pPr>
            <w:r>
              <w:t>796.400</w:t>
            </w:r>
          </w:p>
        </w:tc>
        <w:tc>
          <w:tcPr>
            <w:tcW w:w="1632" w:type="dxa"/>
            <w:vAlign w:val="top"/>
          </w:tcPr>
          <w:p w:rsidR="00A46866" w:rsidRDefault="00F51091">
            <w:pPr>
              <w:jc w:val="right"/>
            </w:pPr>
            <w:r>
              <w:t>796.400</w:t>
            </w:r>
          </w:p>
        </w:tc>
        <w:tc>
          <w:tcPr>
            <w:tcW w:w="510" w:type="dxa"/>
            <w:vAlign w:val="top"/>
          </w:tcPr>
          <w:p w:rsidR="00A46866" w:rsidRDefault="00F51091">
            <w:pPr>
              <w:jc w:val="right"/>
            </w:pPr>
            <w:r>
              <w:t>100,0</w:t>
            </w:r>
          </w:p>
        </w:tc>
      </w:tr>
    </w:tbl>
    <w:p w:rsidR="00A46866" w:rsidRDefault="00A46866">
      <w:pPr>
        <w:jc w:val="left"/>
      </w:pPr>
    </w:p>
    <w:p w:rsidR="00A46866" w:rsidRDefault="00F51091">
      <w:r>
        <w:t xml:space="preserve">Iz sredstava predmetne aktivnosti Hrvatski crveni križ će provoditi poslove organizacije i vođenja Službe traženja, </w:t>
      </w:r>
    </w:p>
    <w:p w:rsidR="00A46866" w:rsidRDefault="00F51091">
      <w:r>
        <w:t xml:space="preserve">traženje, primanje i raspoređivanje humanitarne pomoći, obrazovanje građana u pružanju prve pomoći, </w:t>
      </w:r>
    </w:p>
    <w:p w:rsidR="00A46866" w:rsidRDefault="00F51091">
      <w:r>
        <w:t xml:space="preserve">sudjelovanje u akcijama međunarodne pomoći i solidarnosti žrtvama oružanih sukoba, epidemija, promicati </w:t>
      </w:r>
    </w:p>
    <w:p w:rsidR="00A46866" w:rsidRDefault="00F51091">
      <w:r>
        <w:t xml:space="preserve">dobrovoljno davanje krvi, voditi službu spašavanja na vodi, provoditi kontinuirano informiranje i obučavati </w:t>
      </w:r>
    </w:p>
    <w:p w:rsidR="00A46866" w:rsidRDefault="00F51091">
      <w:r>
        <w:lastRenderedPageBreak/>
        <w:t>stanovništvo, a posebice djecu od mina.</w:t>
      </w:r>
    </w:p>
    <w:p w:rsidR="00A46866" w:rsidRDefault="00F51091">
      <w:pPr>
        <w:pStyle w:val="Naslov4"/>
      </w:pPr>
      <w:r>
        <w:t>K849031 HELIKOPTERSKA POTPORA SUSTAVU CIVILE ZAŠTITE - VIŠEGODIŠNJI OKVIR 2021-2027.</w:t>
      </w:r>
    </w:p>
    <w:p w:rsidR="00A46866" w:rsidRDefault="00F51091">
      <w:pPr>
        <w:pStyle w:val="Naslov8"/>
        <w:jc w:val="left"/>
      </w:pPr>
      <w:r>
        <w:t>Zakonske i druge pravne osnove</w:t>
      </w:r>
    </w:p>
    <w:p w:rsidR="00A46866" w:rsidRDefault="00F51091">
      <w:r>
        <w:t>2021HR16FFPR001, HR - Program Konkurentnost i kohezija 2021.-2027., C(2022)8143, C(2022)8143, 09.11.2022.</w:t>
      </w:r>
    </w:p>
    <w:tbl>
      <w:tblPr>
        <w:tblStyle w:val="StilTablice"/>
        <w:tblW w:w="10206" w:type="dxa"/>
        <w:jc w:val="center"/>
        <w:tblLook w:val="04A0" w:firstRow="1" w:lastRow="0" w:firstColumn="1" w:lastColumn="0" w:noHBand="0" w:noVBand="1"/>
      </w:tblPr>
      <w:tblGrid>
        <w:gridCol w:w="1465"/>
        <w:gridCol w:w="1552"/>
        <w:gridCol w:w="1523"/>
        <w:gridCol w:w="1558"/>
        <w:gridCol w:w="1569"/>
        <w:gridCol w:w="1569"/>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K849031</w:t>
            </w:r>
          </w:p>
        </w:tc>
        <w:tc>
          <w:tcPr>
            <w:tcW w:w="1632" w:type="dxa"/>
            <w:vAlign w:val="top"/>
          </w:tcPr>
          <w:p w:rsidR="00A46866" w:rsidRDefault="00F51091">
            <w:pPr>
              <w:jc w:val="right"/>
            </w:pPr>
            <w:r>
              <w:t>00</w:t>
            </w:r>
          </w:p>
        </w:tc>
        <w:tc>
          <w:tcPr>
            <w:tcW w:w="1632" w:type="dxa"/>
            <w:vAlign w:val="top"/>
          </w:tcPr>
          <w:p w:rsidR="00A46866" w:rsidRDefault="00F51091">
            <w:pPr>
              <w:jc w:val="right"/>
            </w:pPr>
            <w:r>
              <w:t>00</w:t>
            </w:r>
          </w:p>
        </w:tc>
        <w:tc>
          <w:tcPr>
            <w:tcW w:w="1632" w:type="dxa"/>
            <w:vAlign w:val="top"/>
          </w:tcPr>
          <w:p w:rsidR="00A46866" w:rsidRDefault="00F51091">
            <w:pPr>
              <w:jc w:val="right"/>
            </w:pPr>
            <w:r>
              <w:t>3.588.000</w:t>
            </w:r>
          </w:p>
        </w:tc>
        <w:tc>
          <w:tcPr>
            <w:tcW w:w="1632" w:type="dxa"/>
            <w:vAlign w:val="top"/>
          </w:tcPr>
          <w:p w:rsidR="00A46866" w:rsidRDefault="00F51091">
            <w:pPr>
              <w:jc w:val="right"/>
            </w:pPr>
            <w:r>
              <w:t>14.620.500</w:t>
            </w:r>
          </w:p>
        </w:tc>
        <w:tc>
          <w:tcPr>
            <w:tcW w:w="1632" w:type="dxa"/>
            <w:vAlign w:val="top"/>
          </w:tcPr>
          <w:p w:rsidR="00A46866" w:rsidRDefault="00F51091">
            <w:pPr>
              <w:jc w:val="right"/>
            </w:pPr>
            <w:r>
              <w:t>27.671.500</w:t>
            </w:r>
          </w:p>
        </w:tc>
        <w:tc>
          <w:tcPr>
            <w:tcW w:w="510" w:type="dxa"/>
            <w:vAlign w:val="top"/>
          </w:tcPr>
          <w:p w:rsidR="00A46866" w:rsidRDefault="00F51091">
            <w:pPr>
              <w:jc w:val="right"/>
            </w:pPr>
            <w:r>
              <w:t>0,0</w:t>
            </w:r>
          </w:p>
        </w:tc>
      </w:tr>
    </w:tbl>
    <w:p w:rsidR="00A46866" w:rsidRDefault="00A46866">
      <w:pPr>
        <w:jc w:val="left"/>
      </w:pPr>
    </w:p>
    <w:p w:rsidR="00A46866" w:rsidRDefault="00F51091">
      <w:r>
        <w:t>Cilj projekta je povećanje spremnosti i kapaciteta sustava civilne zaštite u Republici Hrvatskoj, odnosno razvoj sustava upravljanja u slučaju izvanrednih događaja, velikih nesreća i katastrofa, kojima je izložena Republika Hrvatska temeljem Procjene rizika od katastrofa za Republiku Hrvatsku. Projekt predviđa jačanje operativnih kapaciteta sustava civilne zaštite te uključuje nabavu 1 višenamjenski  opremljenog helikoptera za potrebe sustava civilne zaštite kao i obuku operativnih snaga i sudionika sustava civilne zaštite na višenamjenski opremljenom helikopteru za djelovanje u slučaju izvanrednih događaja, velikih nesreća i katastrofa. Kroz projekt planirana  su financijska sredstva za prijevozna sredstva u zračnom prometu iznosu od 3.000.000 eur / 83,6% te se ostali troškovi odnose na plaće, službena putovanja i stručno usavršavanje zaposlenika. Tijekom naredne dvije godine planirana su veća ulaganja u uređaje, strojeve i opremu za ostale namjene, ostale usluge, prijevozna sredstva u zračnom prometu i dodatna ulaganja na građevinskim objektima.</w:t>
      </w:r>
    </w:p>
    <w:p w:rsidR="00A46866" w:rsidRDefault="00F51091">
      <w:pPr>
        <w:pStyle w:val="Naslov4"/>
      </w:pPr>
      <w:r>
        <w:t>K863004 RUTNE I TERMINALNE NAKNADE ZA AKTIVNOSTI POTRAGE I SPAŠAVANJA ZRAKOPLOVA</w:t>
      </w:r>
    </w:p>
    <w:p w:rsidR="00A46866" w:rsidRDefault="00F51091">
      <w:pPr>
        <w:pStyle w:val="Naslov8"/>
        <w:jc w:val="left"/>
      </w:pPr>
      <w:r>
        <w:t>Zakonske i druge pravne osnove</w:t>
      </w:r>
    </w:p>
    <w:p w:rsidR="00A46866" w:rsidRDefault="00F51091">
      <w:r>
        <w:t xml:space="preserve">Članak 52. stavak 1. i 2. Uredba o uvjetima i načinu obavljanja potrage i spašavanja zrakoplova, članak 10. Zakon o </w:t>
      </w:r>
    </w:p>
    <w:p w:rsidR="00A46866" w:rsidRDefault="00F51091">
      <w:r>
        <w:t>zračnom prometu.</w:t>
      </w:r>
    </w:p>
    <w:tbl>
      <w:tblPr>
        <w:tblStyle w:val="StilTablice"/>
        <w:tblW w:w="10206" w:type="dxa"/>
        <w:jc w:val="center"/>
        <w:tblLook w:val="04A0" w:firstRow="1" w:lastRow="0" w:firstColumn="1" w:lastColumn="0" w:noHBand="0" w:noVBand="1"/>
      </w:tblPr>
      <w:tblGrid>
        <w:gridCol w:w="1463"/>
        <w:gridCol w:w="1549"/>
        <w:gridCol w:w="1556"/>
        <w:gridCol w:w="1556"/>
        <w:gridCol w:w="1556"/>
        <w:gridCol w:w="1556"/>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K863004</w:t>
            </w:r>
          </w:p>
        </w:tc>
        <w:tc>
          <w:tcPr>
            <w:tcW w:w="1632" w:type="dxa"/>
            <w:vAlign w:val="top"/>
          </w:tcPr>
          <w:p w:rsidR="00A46866" w:rsidRDefault="00F51091">
            <w:pPr>
              <w:jc w:val="right"/>
            </w:pPr>
            <w:r>
              <w:t>152.240</w:t>
            </w:r>
          </w:p>
        </w:tc>
        <w:tc>
          <w:tcPr>
            <w:tcW w:w="1632" w:type="dxa"/>
            <w:vAlign w:val="top"/>
          </w:tcPr>
          <w:p w:rsidR="00A46866" w:rsidRDefault="00F51091">
            <w:pPr>
              <w:jc w:val="right"/>
            </w:pPr>
            <w:r>
              <w:t>1.271.000</w:t>
            </w:r>
          </w:p>
        </w:tc>
        <w:tc>
          <w:tcPr>
            <w:tcW w:w="1632" w:type="dxa"/>
            <w:vAlign w:val="top"/>
          </w:tcPr>
          <w:p w:rsidR="00A46866" w:rsidRDefault="00F51091">
            <w:pPr>
              <w:jc w:val="right"/>
            </w:pPr>
            <w:r>
              <w:t>1.262.000</w:t>
            </w:r>
          </w:p>
        </w:tc>
        <w:tc>
          <w:tcPr>
            <w:tcW w:w="1632" w:type="dxa"/>
            <w:vAlign w:val="top"/>
          </w:tcPr>
          <w:p w:rsidR="00A46866" w:rsidRDefault="00F51091">
            <w:pPr>
              <w:jc w:val="right"/>
            </w:pPr>
            <w:r>
              <w:t>1.262.000</w:t>
            </w:r>
          </w:p>
        </w:tc>
        <w:tc>
          <w:tcPr>
            <w:tcW w:w="1632" w:type="dxa"/>
            <w:vAlign w:val="top"/>
          </w:tcPr>
          <w:p w:rsidR="00A46866" w:rsidRDefault="00F51091">
            <w:pPr>
              <w:jc w:val="right"/>
            </w:pPr>
            <w:r>
              <w:t>1.262.000</w:t>
            </w:r>
          </w:p>
        </w:tc>
        <w:tc>
          <w:tcPr>
            <w:tcW w:w="510" w:type="dxa"/>
            <w:vAlign w:val="top"/>
          </w:tcPr>
          <w:p w:rsidR="00A46866" w:rsidRDefault="00F51091">
            <w:pPr>
              <w:jc w:val="right"/>
            </w:pPr>
            <w:r>
              <w:t>99,3</w:t>
            </w:r>
          </w:p>
        </w:tc>
      </w:tr>
    </w:tbl>
    <w:p w:rsidR="00A46866" w:rsidRDefault="00A46866">
      <w:pPr>
        <w:jc w:val="left"/>
      </w:pPr>
    </w:p>
    <w:p w:rsidR="00A46866" w:rsidRDefault="00F51091">
      <w:r>
        <w:t xml:space="preserve">Projekt iziskuje planiranje nabave nužno potrebnih materijalno-tehničkih sredstava, koja će se isključivo koristiti za </w:t>
      </w:r>
    </w:p>
    <w:p w:rsidR="00A46866" w:rsidRDefault="00F51091">
      <w:r>
        <w:t xml:space="preserve">potragu i spašavanje unesrećenih uslijed pada zrakoplova, te provođenje vježbi za edukaciju postrojbi civilne zaštite </w:t>
      </w:r>
    </w:p>
    <w:p w:rsidR="00A46866" w:rsidRDefault="00F51091">
      <w:r>
        <w:t xml:space="preserve">u spomenutim situacijama. Kroz projekt godišnje su planirana sredstva za usluge tekućeg i investicijskog održavanja 133.000 eur / 10,5%, uredsku opremu i namještaj 330.000 eur / 26,1%, komunikacijsku opremu </w:t>
      </w:r>
    </w:p>
    <w:p w:rsidR="00A46866" w:rsidRDefault="00F51091">
      <w:r>
        <w:t xml:space="preserve">266.000 eur / 21,1% te se ostali troškovi odnose na sudjelovanje na domaćim i međunarodnim događajima vezanim uz sigurnost zračne plovidbe i potrage i spašavanja, te sudjelovanje na međunarodnim vježbama. Za </w:t>
      </w:r>
    </w:p>
    <w:p w:rsidR="00A46866" w:rsidRDefault="00F51091">
      <w:r>
        <w:t>naredne dvije godine planirani su troškovi kao i za 2024. godinu.</w:t>
      </w:r>
    </w:p>
    <w:p w:rsidR="00A46866" w:rsidRDefault="00F51091">
      <w:pPr>
        <w:pStyle w:val="Naslov4"/>
      </w:pPr>
      <w:r>
        <w:t>K863025 LOGISTIČKO DISTRIBUTIVNO SREDIŠTE ZA OPERATIVNO DJELOVANJE - TRUST</w:t>
      </w:r>
    </w:p>
    <w:p w:rsidR="00A46866" w:rsidRDefault="00F51091">
      <w:pPr>
        <w:pStyle w:val="Naslov8"/>
        <w:jc w:val="left"/>
      </w:pPr>
      <w:r>
        <w:t>Zakonske i druge pravne osnove</w:t>
      </w:r>
    </w:p>
    <w:p w:rsidR="00A46866" w:rsidRDefault="00F51091">
      <w:r>
        <w:t>Grant Agreement Project 101059170-rescEU-MEDSTOCK-HR</w:t>
      </w:r>
    </w:p>
    <w:tbl>
      <w:tblPr>
        <w:tblStyle w:val="StilTablice"/>
        <w:tblW w:w="10206" w:type="dxa"/>
        <w:jc w:val="center"/>
        <w:tblLook w:val="04A0" w:firstRow="1" w:lastRow="0" w:firstColumn="1" w:lastColumn="0" w:noHBand="0" w:noVBand="1"/>
      </w:tblPr>
      <w:tblGrid>
        <w:gridCol w:w="1470"/>
        <w:gridCol w:w="1556"/>
        <w:gridCol w:w="1562"/>
        <w:gridCol w:w="1562"/>
        <w:gridCol w:w="1548"/>
        <w:gridCol w:w="1538"/>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K863025</w:t>
            </w:r>
          </w:p>
        </w:tc>
        <w:tc>
          <w:tcPr>
            <w:tcW w:w="1632" w:type="dxa"/>
            <w:vAlign w:val="top"/>
          </w:tcPr>
          <w:p w:rsidR="00A46866" w:rsidRDefault="00F51091">
            <w:pPr>
              <w:jc w:val="right"/>
            </w:pPr>
            <w:r>
              <w:t>24.901</w:t>
            </w:r>
          </w:p>
        </w:tc>
        <w:tc>
          <w:tcPr>
            <w:tcW w:w="1632" w:type="dxa"/>
            <w:vAlign w:val="top"/>
          </w:tcPr>
          <w:p w:rsidR="00A46866" w:rsidRDefault="00F51091">
            <w:pPr>
              <w:jc w:val="right"/>
            </w:pPr>
            <w:r>
              <w:t>1.304.800</w:t>
            </w:r>
          </w:p>
        </w:tc>
        <w:tc>
          <w:tcPr>
            <w:tcW w:w="1632" w:type="dxa"/>
            <w:vAlign w:val="top"/>
          </w:tcPr>
          <w:p w:rsidR="00A46866" w:rsidRDefault="00F51091">
            <w:pPr>
              <w:jc w:val="right"/>
            </w:pPr>
            <w:r>
              <w:t>3.621.000</w:t>
            </w:r>
          </w:p>
        </w:tc>
        <w:tc>
          <w:tcPr>
            <w:tcW w:w="1632" w:type="dxa"/>
            <w:vAlign w:val="top"/>
          </w:tcPr>
          <w:p w:rsidR="00A46866" w:rsidRDefault="00F51091">
            <w:pPr>
              <w:jc w:val="right"/>
            </w:pPr>
            <w:r>
              <w:t>138.000</w:t>
            </w:r>
          </w:p>
        </w:tc>
        <w:tc>
          <w:tcPr>
            <w:tcW w:w="1632" w:type="dxa"/>
            <w:vAlign w:val="top"/>
          </w:tcPr>
          <w:p w:rsidR="00A46866" w:rsidRDefault="00F51091">
            <w:pPr>
              <w:jc w:val="right"/>
            </w:pPr>
            <w:r>
              <w:t>56.000</w:t>
            </w:r>
          </w:p>
        </w:tc>
        <w:tc>
          <w:tcPr>
            <w:tcW w:w="510" w:type="dxa"/>
            <w:vAlign w:val="top"/>
          </w:tcPr>
          <w:p w:rsidR="00A46866" w:rsidRDefault="00F51091">
            <w:pPr>
              <w:jc w:val="right"/>
            </w:pPr>
            <w:r>
              <w:t>277,5</w:t>
            </w:r>
          </w:p>
        </w:tc>
      </w:tr>
    </w:tbl>
    <w:p w:rsidR="00A46866" w:rsidRDefault="00A46866">
      <w:pPr>
        <w:jc w:val="left"/>
      </w:pPr>
    </w:p>
    <w:p w:rsidR="00A46866" w:rsidRDefault="00F51091">
      <w:r>
        <w:t xml:space="preserve">Cilj projekta je razvoj rescEU kapaciteta u sklopu razvoja zajedničke europske pričuve za hitne situacije - razvoj </w:t>
      </w:r>
    </w:p>
    <w:p w:rsidR="00A46866" w:rsidRDefault="00F51091">
      <w:r>
        <w:t xml:space="preserve">zaliha medicinskog materijala i/ili osobne zaštitne opreme usmjerene na borbu protiv ozbiljnih prekograničnih </w:t>
      </w:r>
    </w:p>
    <w:p w:rsidR="00A46866" w:rsidRDefault="00F51091">
      <w:r>
        <w:t xml:space="preserve">prijetnji zdravlju s posebnim naglaskom na stvaranje zaliha zaštitne opreme namijenjene zemljama regije. Kroz </w:t>
      </w:r>
    </w:p>
    <w:p w:rsidR="00A46866" w:rsidRDefault="00F51091">
      <w:r>
        <w:t>projekt godišnje su planirana sredstva za uredski materijal i ostale materijalne rashode 3.400.000 eur / 93,9%  te se ostali troškovi odnose na plaće, intelektualne i osobne usluge, uredsku opremu i namještaj i premije osiguranja. Za naredne dvije godine planirani su troškovi za plaće, intelektualne i osobne usluge i premije osiguranja. Projekt traje 48 mjeseci, a započeo je 1.7.2022. godine.</w:t>
      </w:r>
    </w:p>
    <w:p w:rsidR="00A46866" w:rsidRDefault="00F51091">
      <w:pPr>
        <w:pStyle w:val="Naslov4"/>
      </w:pPr>
      <w:r>
        <w:t>K863026 SUSTAV NA DALJINSKO UPRAVLJANJE ZA KBRN DEKONTAMINACIJU - DECON</w:t>
      </w:r>
    </w:p>
    <w:p w:rsidR="00A46866" w:rsidRDefault="00F51091">
      <w:pPr>
        <w:pStyle w:val="Naslov8"/>
        <w:jc w:val="left"/>
      </w:pPr>
      <w:r>
        <w:t>Zakonske i druge pravne osnove</w:t>
      </w:r>
    </w:p>
    <w:p w:rsidR="00A46866" w:rsidRDefault="00F51091">
      <w:r>
        <w:t>Grant Agreement Project 101059152-rescEU-DECON-Croatia</w:t>
      </w:r>
    </w:p>
    <w:tbl>
      <w:tblPr>
        <w:tblStyle w:val="StilTablice"/>
        <w:tblW w:w="10206" w:type="dxa"/>
        <w:jc w:val="center"/>
        <w:tblLook w:val="04A0" w:firstRow="1" w:lastRow="0" w:firstColumn="1" w:lastColumn="0" w:noHBand="0" w:noVBand="1"/>
      </w:tblPr>
      <w:tblGrid>
        <w:gridCol w:w="1467"/>
        <w:gridCol w:w="1553"/>
        <w:gridCol w:w="1544"/>
        <w:gridCol w:w="1559"/>
        <w:gridCol w:w="1569"/>
        <w:gridCol w:w="1544"/>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K863026</w:t>
            </w:r>
          </w:p>
        </w:tc>
        <w:tc>
          <w:tcPr>
            <w:tcW w:w="1632" w:type="dxa"/>
            <w:vAlign w:val="top"/>
          </w:tcPr>
          <w:p w:rsidR="00A46866" w:rsidRDefault="00F51091">
            <w:pPr>
              <w:jc w:val="right"/>
            </w:pPr>
            <w:r>
              <w:t>65.009</w:t>
            </w:r>
          </w:p>
        </w:tc>
        <w:tc>
          <w:tcPr>
            <w:tcW w:w="1632" w:type="dxa"/>
            <w:vAlign w:val="top"/>
          </w:tcPr>
          <w:p w:rsidR="00A46866" w:rsidRDefault="00F51091">
            <w:pPr>
              <w:jc w:val="right"/>
            </w:pPr>
            <w:r>
              <w:t>106.500</w:t>
            </w:r>
          </w:p>
        </w:tc>
        <w:tc>
          <w:tcPr>
            <w:tcW w:w="1632" w:type="dxa"/>
            <w:vAlign w:val="top"/>
          </w:tcPr>
          <w:p w:rsidR="00A46866" w:rsidRDefault="00F51091">
            <w:pPr>
              <w:jc w:val="right"/>
            </w:pPr>
            <w:r>
              <w:t>5.431.000</w:t>
            </w:r>
          </w:p>
        </w:tc>
        <w:tc>
          <w:tcPr>
            <w:tcW w:w="1632" w:type="dxa"/>
            <w:vAlign w:val="top"/>
          </w:tcPr>
          <w:p w:rsidR="00A46866" w:rsidRDefault="00F51091">
            <w:pPr>
              <w:jc w:val="right"/>
            </w:pPr>
            <w:r>
              <w:t>15.431.000</w:t>
            </w:r>
          </w:p>
        </w:tc>
        <w:tc>
          <w:tcPr>
            <w:tcW w:w="1632" w:type="dxa"/>
            <w:vAlign w:val="top"/>
          </w:tcPr>
          <w:p w:rsidR="00A46866" w:rsidRDefault="00F51091">
            <w:pPr>
              <w:jc w:val="right"/>
            </w:pPr>
            <w:r>
              <w:t>889.000</w:t>
            </w:r>
          </w:p>
        </w:tc>
        <w:tc>
          <w:tcPr>
            <w:tcW w:w="510" w:type="dxa"/>
            <w:vAlign w:val="top"/>
          </w:tcPr>
          <w:p w:rsidR="00A46866" w:rsidRDefault="00F51091">
            <w:pPr>
              <w:jc w:val="right"/>
            </w:pPr>
            <w:r>
              <w:t>5099,5</w:t>
            </w:r>
          </w:p>
        </w:tc>
      </w:tr>
    </w:tbl>
    <w:p w:rsidR="00A46866" w:rsidRDefault="00A46866">
      <w:pPr>
        <w:jc w:val="left"/>
      </w:pPr>
    </w:p>
    <w:p w:rsidR="00A46866" w:rsidRDefault="00F51091">
      <w:r>
        <w:t xml:space="preserve">Cilj je razviti, održavati i osigurati dostupnost rescEU CBRN kapaciteta za dekontaminaciju u sva tri referentna </w:t>
      </w:r>
    </w:p>
    <w:p w:rsidR="00A46866" w:rsidRDefault="00F51091">
      <w:r>
        <w:t xml:space="preserve">scenarija, odnosno prije velikih masovnih okupljanja u slučaju masovne dekontaminacije ili nakon velikih CBRN </w:t>
      </w:r>
    </w:p>
    <w:p w:rsidR="00A46866" w:rsidRDefault="00F51091">
      <w:r>
        <w:t xml:space="preserve">incidenata. RCZ planira potpuno opremanje i puštanje u rad 3 neovisna i potpuno operativna kapaciteta sustava za </w:t>
      </w:r>
    </w:p>
    <w:p w:rsidR="00A46866" w:rsidRDefault="00F51091">
      <w:r>
        <w:t xml:space="preserve">dekontanimaciju CBRN-a, na temelju bespilotnih vozila - UGV-ova. Kroz projekt godišnje su planirana </w:t>
      </w:r>
    </w:p>
    <w:p w:rsidR="00A46866" w:rsidRDefault="00F51091">
      <w:r>
        <w:t>sredstva za materijal i sirovine 750.000 eur / 13,8%, uređaje, strojeve i opremu za ostale namjene 1.041.000 eur / 19,2%  i prijevozna sredstva u cestovnom prometu 2.300.000 eur / 42,4% te se ostali troškovi odnose na službenu, radnu i zaštitnu odjeću i obuću i dodatna ulaganja na prijevoznim sredstvima. Za naredne dvije godine planirani su troškovi za plaće, uređaje, strojeve i opremu za ostale namjene, prijevozna sredstva u cestovnom prometu te ostale usluge. Projekt završava 30.09.2026. godine.</w:t>
      </w:r>
    </w:p>
    <w:p w:rsidR="00A46866" w:rsidRDefault="00F51091">
      <w:pPr>
        <w:pStyle w:val="Naslov4"/>
      </w:pPr>
      <w:r>
        <w:t>K863028 IZGRADNJA STRATEŠKIH ZALIHA ZA ODGOVOR NA KBRN KRIZE</w:t>
      </w:r>
    </w:p>
    <w:p w:rsidR="00A46866" w:rsidRDefault="00F51091">
      <w:pPr>
        <w:pStyle w:val="Naslov8"/>
        <w:jc w:val="left"/>
      </w:pPr>
      <w:r>
        <w:t>Zakonske i druge pravne osnove</w:t>
      </w:r>
    </w:p>
    <w:p w:rsidR="00A46866" w:rsidRDefault="00F51091">
      <w:r>
        <w:t>Grant Agreement-101101873-rescEU-CBRNSTOCK-HR</w:t>
      </w:r>
    </w:p>
    <w:tbl>
      <w:tblPr>
        <w:tblStyle w:val="StilTablice"/>
        <w:tblW w:w="10206" w:type="dxa"/>
        <w:jc w:val="center"/>
        <w:tblLook w:val="04A0" w:firstRow="1" w:lastRow="0" w:firstColumn="1" w:lastColumn="0" w:noHBand="0" w:noVBand="1"/>
      </w:tblPr>
      <w:tblGrid>
        <w:gridCol w:w="1467"/>
        <w:gridCol w:w="1553"/>
        <w:gridCol w:w="1534"/>
        <w:gridCol w:w="1569"/>
        <w:gridCol w:w="1569"/>
        <w:gridCol w:w="1544"/>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K863028</w:t>
            </w:r>
          </w:p>
        </w:tc>
        <w:tc>
          <w:tcPr>
            <w:tcW w:w="1632" w:type="dxa"/>
            <w:vAlign w:val="top"/>
          </w:tcPr>
          <w:p w:rsidR="00A46866" w:rsidRDefault="00F51091">
            <w:pPr>
              <w:jc w:val="right"/>
            </w:pPr>
            <w:r>
              <w:t>00</w:t>
            </w:r>
          </w:p>
        </w:tc>
        <w:tc>
          <w:tcPr>
            <w:tcW w:w="1632" w:type="dxa"/>
            <w:vAlign w:val="top"/>
          </w:tcPr>
          <w:p w:rsidR="00A46866" w:rsidRDefault="00F51091">
            <w:pPr>
              <w:jc w:val="right"/>
            </w:pPr>
            <w:r>
              <w:t>80.000</w:t>
            </w:r>
          </w:p>
        </w:tc>
        <w:tc>
          <w:tcPr>
            <w:tcW w:w="1632" w:type="dxa"/>
            <w:vAlign w:val="top"/>
          </w:tcPr>
          <w:p w:rsidR="00A46866" w:rsidRDefault="00F51091">
            <w:pPr>
              <w:jc w:val="right"/>
            </w:pPr>
            <w:r>
              <w:t>18.433.000</w:t>
            </w:r>
          </w:p>
        </w:tc>
        <w:tc>
          <w:tcPr>
            <w:tcW w:w="1632" w:type="dxa"/>
            <w:vAlign w:val="top"/>
          </w:tcPr>
          <w:p w:rsidR="00A46866" w:rsidRDefault="00F51091">
            <w:pPr>
              <w:jc w:val="right"/>
            </w:pPr>
            <w:r>
              <w:t>29.543.000</w:t>
            </w:r>
          </w:p>
        </w:tc>
        <w:tc>
          <w:tcPr>
            <w:tcW w:w="1632" w:type="dxa"/>
            <w:vAlign w:val="top"/>
          </w:tcPr>
          <w:p w:rsidR="00A46866" w:rsidRDefault="00F51091">
            <w:pPr>
              <w:jc w:val="right"/>
            </w:pPr>
            <w:r>
              <w:t>303.000</w:t>
            </w:r>
          </w:p>
        </w:tc>
        <w:tc>
          <w:tcPr>
            <w:tcW w:w="510" w:type="dxa"/>
            <w:vAlign w:val="top"/>
          </w:tcPr>
          <w:p w:rsidR="00A46866" w:rsidRDefault="00F51091">
            <w:pPr>
              <w:jc w:val="right"/>
            </w:pPr>
            <w:r>
              <w:t>23041,2</w:t>
            </w:r>
          </w:p>
        </w:tc>
      </w:tr>
    </w:tbl>
    <w:p w:rsidR="00A46866" w:rsidRDefault="00A46866">
      <w:pPr>
        <w:jc w:val="left"/>
      </w:pPr>
    </w:p>
    <w:p w:rsidR="00A46866" w:rsidRDefault="00F51091">
      <w:r>
        <w:t>Cilj projekta je razviti, održavati i osigurati dostupnost KBRN zaliha čime će se ojačati mehanizmi prekogranične prevencije katastrofa i pridonijeti jačanju otpornosti EU-a na odgovor u zaštiti od KBRN rizika. Kroz projekt su planirana sredstva za uredski materijal i ostale materijalne rashode 13.500.000 eur / 73,2%, uređaje, strojeve i opremu za ostale namjene 3.500.000 eur / 19% i dodatna ulaganja na građevinskim objektima 877.000 eur / 4,8% te se ostali troškovi odnose na plaće, intelektualne i osobne usluge i uredsku opremu i namještaj. U slijedećoj godini veća ulaganja planirana su za uredski materijal i ostale materijalne rashode i uređaje, strojeve i opremu za ostale namjene. U 2026. godini troškovi se odnose na plaće, intelektualne i osobne usluge i premije osiguranja.</w:t>
      </w:r>
    </w:p>
    <w:p w:rsidR="00A46866" w:rsidRDefault="00F51091">
      <w:pPr>
        <w:pStyle w:val="Naslov4"/>
      </w:pPr>
      <w:r>
        <w:t>K879028 RAZVOJ I ODRŽAVANJE MODULA ZA ZBRINJAVANJE-SHELTER</w:t>
      </w:r>
    </w:p>
    <w:p w:rsidR="00A46866" w:rsidRDefault="00F51091">
      <w:pPr>
        <w:pStyle w:val="Naslov8"/>
        <w:jc w:val="left"/>
      </w:pPr>
      <w:r>
        <w:t>Zakonske i druge pravne osnove</w:t>
      </w:r>
    </w:p>
    <w:p w:rsidR="00A46866" w:rsidRDefault="00F51091">
      <w:r>
        <w:t>Frant Agreement 101104670 - rescEU-Shelters-HR</w:t>
      </w:r>
    </w:p>
    <w:tbl>
      <w:tblPr>
        <w:tblStyle w:val="StilTablice"/>
        <w:tblW w:w="10206" w:type="dxa"/>
        <w:jc w:val="center"/>
        <w:tblLook w:val="04A0" w:firstRow="1" w:lastRow="0" w:firstColumn="1" w:lastColumn="0" w:noHBand="0" w:noVBand="1"/>
      </w:tblPr>
      <w:tblGrid>
        <w:gridCol w:w="1467"/>
        <w:gridCol w:w="1553"/>
        <w:gridCol w:w="1544"/>
        <w:gridCol w:w="1559"/>
        <w:gridCol w:w="1569"/>
        <w:gridCol w:w="1544"/>
        <w:gridCol w:w="970"/>
      </w:tblGrid>
      <w:tr w:rsidR="00A46866">
        <w:trPr>
          <w:jc w:val="center"/>
        </w:trPr>
        <w:tc>
          <w:tcPr>
            <w:tcW w:w="1530" w:type="dxa"/>
            <w:shd w:val="clear" w:color="auto" w:fill="B5C0D8"/>
          </w:tcPr>
          <w:p w:rsidR="00A46866" w:rsidRDefault="00F51091">
            <w:pPr>
              <w:pStyle w:val="CellHeader"/>
              <w:jc w:val="center"/>
            </w:pPr>
            <w:r>
              <w:rPr>
                <w:rFonts w:cs="Times New Roman"/>
              </w:rPr>
              <w:lastRenderedPageBreak/>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K879028</w:t>
            </w:r>
          </w:p>
        </w:tc>
        <w:tc>
          <w:tcPr>
            <w:tcW w:w="1632" w:type="dxa"/>
            <w:vAlign w:val="top"/>
          </w:tcPr>
          <w:p w:rsidR="00A46866" w:rsidRDefault="00F51091">
            <w:pPr>
              <w:jc w:val="right"/>
            </w:pPr>
            <w:r>
              <w:t>00</w:t>
            </w:r>
          </w:p>
        </w:tc>
        <w:tc>
          <w:tcPr>
            <w:tcW w:w="1632" w:type="dxa"/>
            <w:vAlign w:val="top"/>
          </w:tcPr>
          <w:p w:rsidR="00A46866" w:rsidRDefault="00F51091">
            <w:pPr>
              <w:jc w:val="right"/>
            </w:pPr>
            <w:r>
              <w:t>115.000</w:t>
            </w:r>
          </w:p>
        </w:tc>
        <w:tc>
          <w:tcPr>
            <w:tcW w:w="1632" w:type="dxa"/>
            <w:vAlign w:val="top"/>
          </w:tcPr>
          <w:p w:rsidR="00A46866" w:rsidRDefault="00F51091">
            <w:pPr>
              <w:jc w:val="right"/>
            </w:pPr>
            <w:r>
              <w:t>8.339.000</w:t>
            </w:r>
          </w:p>
        </w:tc>
        <w:tc>
          <w:tcPr>
            <w:tcW w:w="1632" w:type="dxa"/>
            <w:vAlign w:val="top"/>
          </w:tcPr>
          <w:p w:rsidR="00A46866" w:rsidRDefault="00F51091">
            <w:pPr>
              <w:jc w:val="right"/>
            </w:pPr>
            <w:r>
              <w:t>12.189.000</w:t>
            </w:r>
          </w:p>
        </w:tc>
        <w:tc>
          <w:tcPr>
            <w:tcW w:w="1632" w:type="dxa"/>
            <w:vAlign w:val="top"/>
          </w:tcPr>
          <w:p w:rsidR="00A46866" w:rsidRDefault="00F51091">
            <w:pPr>
              <w:jc w:val="right"/>
            </w:pPr>
            <w:r>
              <w:t>282.500</w:t>
            </w:r>
          </w:p>
        </w:tc>
        <w:tc>
          <w:tcPr>
            <w:tcW w:w="510" w:type="dxa"/>
            <w:vAlign w:val="top"/>
          </w:tcPr>
          <w:p w:rsidR="00A46866" w:rsidRDefault="00F51091">
            <w:pPr>
              <w:jc w:val="right"/>
            </w:pPr>
            <w:r>
              <w:t>7251,3</w:t>
            </w:r>
          </w:p>
        </w:tc>
      </w:tr>
    </w:tbl>
    <w:p w:rsidR="00A46866" w:rsidRDefault="00A46866">
      <w:pPr>
        <w:jc w:val="left"/>
      </w:pPr>
    </w:p>
    <w:p w:rsidR="00A46866" w:rsidRDefault="00F51091">
      <w:r>
        <w:t>Cilj projekta je opremanje i organizacija modula za zbrinjavanje ljudi za odgovor na scenarije prirodnih i antropogenih katastrofa kada se aktivira Mehanizam Unije za civilnu zaštitu (UCPM). Kapaciteti će uključivati potpuno opremljene mobilne kontejnere i moderne šatore. Modul za zbrinjavanje razvijat će se u suradnji s domaćim proizvođačima mobilnih kontejnera i šatora za smještaj ljudi. Kroz projekt godišnje su planirana sredstva za uredsku opremu i namještaj 3.740.000 eur / 44,9%, uređaje, strojeve i opremu za ostale namjene 3.000.000 eur / 36%, dodatna ulaganja na građevinskim objektima 730.000 eur / 8,8% te se ostali troškovi odnose na plaće, materijal i sirovine te intelektualne i osobne usluge. U slijedećoj godini planirana su veća ulaganja za uredsku opremu, namještaj i uređaje, strojeve i opremu za ostale namjene te se ostali troškovi odnose na plaće, intelektualne usluge i prijevozna sredstva u cestovnom prometu. U 2026. godini planirana su sredstva za plaće, energiju i intelektualne i osobne usluge.</w:t>
      </w:r>
    </w:p>
    <w:p w:rsidR="00A46866" w:rsidRDefault="00F51091">
      <w:pPr>
        <w:pStyle w:val="Naslov4"/>
      </w:pPr>
      <w:r>
        <w:t>K879031 PREKOGRANIČNA STRATEGIJA ZA IZRADU INVENTARA KLIZIŠTA NA NACIONALNOJ RAZINI - LADY</w:t>
      </w:r>
    </w:p>
    <w:p w:rsidR="00A46866" w:rsidRDefault="00F51091">
      <w:pPr>
        <w:pStyle w:val="Naslov8"/>
        <w:jc w:val="left"/>
      </w:pPr>
      <w:r>
        <w:t>Zakonske i druge pravne osnove</w:t>
      </w:r>
    </w:p>
    <w:p w:rsidR="00A46866" w:rsidRDefault="00F51091">
      <w:r>
        <w:t>SFC2021 INTERREG Programme, 2021 TC16IPCB004, Interreg VI-A IPA CBC Croatia - Bosnia and Hercegovina - Montenegro, C(20222)8028, 03-Nov-2022</w:t>
      </w:r>
    </w:p>
    <w:tbl>
      <w:tblPr>
        <w:tblStyle w:val="StilTablice"/>
        <w:tblW w:w="10206" w:type="dxa"/>
        <w:jc w:val="center"/>
        <w:tblLook w:val="04A0" w:firstRow="1" w:lastRow="0" w:firstColumn="1" w:lastColumn="0" w:noHBand="0" w:noVBand="1"/>
      </w:tblPr>
      <w:tblGrid>
        <w:gridCol w:w="1475"/>
        <w:gridCol w:w="1562"/>
        <w:gridCol w:w="1537"/>
        <w:gridCol w:w="1554"/>
        <w:gridCol w:w="1554"/>
        <w:gridCol w:w="1554"/>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K879031</w:t>
            </w:r>
          </w:p>
        </w:tc>
        <w:tc>
          <w:tcPr>
            <w:tcW w:w="1632" w:type="dxa"/>
            <w:vAlign w:val="top"/>
          </w:tcPr>
          <w:p w:rsidR="00A46866" w:rsidRDefault="00F51091">
            <w:pPr>
              <w:jc w:val="right"/>
            </w:pPr>
            <w:r>
              <w:t>00</w:t>
            </w:r>
          </w:p>
        </w:tc>
        <w:tc>
          <w:tcPr>
            <w:tcW w:w="1632" w:type="dxa"/>
            <w:vAlign w:val="top"/>
          </w:tcPr>
          <w:p w:rsidR="00A46866" w:rsidRDefault="00F51091">
            <w:pPr>
              <w:jc w:val="right"/>
            </w:pPr>
            <w:r>
              <w:t>00</w:t>
            </w:r>
          </w:p>
        </w:tc>
        <w:tc>
          <w:tcPr>
            <w:tcW w:w="1632" w:type="dxa"/>
            <w:vAlign w:val="top"/>
          </w:tcPr>
          <w:p w:rsidR="00A46866" w:rsidRDefault="00F51091">
            <w:pPr>
              <w:jc w:val="right"/>
            </w:pPr>
            <w:r>
              <w:t>171.000</w:t>
            </w:r>
          </w:p>
        </w:tc>
        <w:tc>
          <w:tcPr>
            <w:tcW w:w="1632" w:type="dxa"/>
            <w:vAlign w:val="top"/>
          </w:tcPr>
          <w:p w:rsidR="00A46866" w:rsidRDefault="00F51091">
            <w:pPr>
              <w:jc w:val="right"/>
            </w:pPr>
            <w:r>
              <w:t>197.000</w:t>
            </w:r>
          </w:p>
        </w:tc>
        <w:tc>
          <w:tcPr>
            <w:tcW w:w="1632" w:type="dxa"/>
            <w:vAlign w:val="top"/>
          </w:tcPr>
          <w:p w:rsidR="00A46866" w:rsidRDefault="00F51091">
            <w:pPr>
              <w:jc w:val="right"/>
            </w:pPr>
            <w:r>
              <w:t>103.000</w:t>
            </w:r>
          </w:p>
        </w:tc>
        <w:tc>
          <w:tcPr>
            <w:tcW w:w="510" w:type="dxa"/>
            <w:vAlign w:val="top"/>
          </w:tcPr>
          <w:p w:rsidR="00A46866" w:rsidRDefault="00F51091">
            <w:pPr>
              <w:jc w:val="right"/>
            </w:pPr>
            <w:r>
              <w:t>0,0</w:t>
            </w:r>
          </w:p>
        </w:tc>
      </w:tr>
    </w:tbl>
    <w:p w:rsidR="00A46866" w:rsidRDefault="00A46866">
      <w:pPr>
        <w:jc w:val="left"/>
      </w:pPr>
    </w:p>
    <w:p w:rsidR="00A46866" w:rsidRDefault="00F51091">
      <w:r>
        <w:t>Cilj projekta "Prekogranična strategija za izradu inventara klizišta na nacionalnoj razini" je poboljšati prekograničnu otpornost i smanjenje rizika od klizišta uzrokovanih klimatskih promjenama. Projekt se provodi na području sjeverne Hrvatske i Brčko Distrikta. Opći cilj projekta postići će se izradom detaljnog inventara klizišta, unaprijeđenjem postojeće procjene rizika od klizišta, podizanjem svijesti djece školske dobi i edukacijom stručnjaka za rizik od katastrofa. Za 2024. godinu planirano je za plaće 10.000 eur / 38.5% za uredsku opremu i namještaj 5.000 eur / 19,2% te se ostali troškovi odnose na usluge promidžbe i informirana i intelektualne i osobne osluge. Planirana su sredstva i za naredne dvije godine.</w:t>
      </w:r>
    </w:p>
    <w:p w:rsidR="00A46866" w:rsidRDefault="00F51091">
      <w:pPr>
        <w:pStyle w:val="Naslov4"/>
      </w:pPr>
      <w:r>
        <w:t>T863009 PROJEKTI CIVILNE ZAŠTITE</w:t>
      </w:r>
    </w:p>
    <w:p w:rsidR="00A46866" w:rsidRDefault="00F51091">
      <w:pPr>
        <w:pStyle w:val="Naslov8"/>
        <w:jc w:val="left"/>
      </w:pPr>
      <w:r>
        <w:t>Zakonske i druge pravne osnove</w:t>
      </w:r>
    </w:p>
    <w:p w:rsidR="00A46866" w:rsidRDefault="00F51091">
      <w:r>
        <w:t xml:space="preserve">Memorandum o razumijevanju između Republike Hrvatske i Europske zajednice o sudjelovanje Republike </w:t>
      </w:r>
    </w:p>
    <w:p w:rsidR="00A46866" w:rsidRDefault="00F51091">
      <w:r>
        <w:t>Hrvatske u "MEHANIZMU ZAJEDNICE ZA CIVILNU ZAŠTITU", Zakon o sustavu civilne zaštite, čl. 71.</w:t>
      </w:r>
    </w:p>
    <w:tbl>
      <w:tblPr>
        <w:tblStyle w:val="StilTablice"/>
        <w:tblW w:w="10206" w:type="dxa"/>
        <w:jc w:val="center"/>
        <w:tblLook w:val="04A0" w:firstRow="1" w:lastRow="0" w:firstColumn="1" w:lastColumn="0" w:noHBand="0" w:noVBand="1"/>
      </w:tblPr>
      <w:tblGrid>
        <w:gridCol w:w="1475"/>
        <w:gridCol w:w="1562"/>
        <w:gridCol w:w="1554"/>
        <w:gridCol w:w="1554"/>
        <w:gridCol w:w="1554"/>
        <w:gridCol w:w="1537"/>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T863009</w:t>
            </w:r>
          </w:p>
        </w:tc>
        <w:tc>
          <w:tcPr>
            <w:tcW w:w="1632" w:type="dxa"/>
            <w:vAlign w:val="top"/>
          </w:tcPr>
          <w:p w:rsidR="00A46866" w:rsidRDefault="00F51091">
            <w:pPr>
              <w:jc w:val="right"/>
            </w:pPr>
            <w:r>
              <w:t>221.673</w:t>
            </w:r>
          </w:p>
        </w:tc>
        <w:tc>
          <w:tcPr>
            <w:tcW w:w="1632" w:type="dxa"/>
            <w:vAlign w:val="top"/>
          </w:tcPr>
          <w:p w:rsidR="00A46866" w:rsidRDefault="00F51091">
            <w:pPr>
              <w:jc w:val="right"/>
            </w:pPr>
            <w:r>
              <w:t>124.000</w:t>
            </w:r>
          </w:p>
        </w:tc>
        <w:tc>
          <w:tcPr>
            <w:tcW w:w="1632" w:type="dxa"/>
            <w:vAlign w:val="top"/>
          </w:tcPr>
          <w:p w:rsidR="00A46866" w:rsidRDefault="00F51091">
            <w:pPr>
              <w:jc w:val="right"/>
            </w:pPr>
            <w:r>
              <w:t>225.000</w:t>
            </w:r>
          </w:p>
        </w:tc>
        <w:tc>
          <w:tcPr>
            <w:tcW w:w="1632" w:type="dxa"/>
            <w:vAlign w:val="top"/>
          </w:tcPr>
          <w:p w:rsidR="00A46866" w:rsidRDefault="00F51091">
            <w:pPr>
              <w:jc w:val="right"/>
            </w:pPr>
            <w:r>
              <w:t>213.000</w:t>
            </w:r>
          </w:p>
        </w:tc>
        <w:tc>
          <w:tcPr>
            <w:tcW w:w="1632" w:type="dxa"/>
            <w:vAlign w:val="top"/>
          </w:tcPr>
          <w:p w:rsidR="00A46866" w:rsidRDefault="00F51091">
            <w:pPr>
              <w:jc w:val="right"/>
            </w:pPr>
            <w:r>
              <w:t>00</w:t>
            </w:r>
          </w:p>
        </w:tc>
        <w:tc>
          <w:tcPr>
            <w:tcW w:w="510" w:type="dxa"/>
            <w:vAlign w:val="top"/>
          </w:tcPr>
          <w:p w:rsidR="00A46866" w:rsidRDefault="00F51091">
            <w:pPr>
              <w:jc w:val="right"/>
            </w:pPr>
            <w:r>
              <w:t>181,5</w:t>
            </w:r>
          </w:p>
        </w:tc>
      </w:tr>
    </w:tbl>
    <w:p w:rsidR="00A46866" w:rsidRDefault="00A46866">
      <w:pPr>
        <w:jc w:val="left"/>
      </w:pPr>
    </w:p>
    <w:p w:rsidR="00A46866" w:rsidRDefault="00F51091">
      <w:r>
        <w:t xml:space="preserve">U sklopu ovog projekta predviđeno je financiranje nekoliko projekata. Planirano je financiranje troškova </w:t>
      </w:r>
    </w:p>
    <w:p w:rsidR="00A46866" w:rsidRDefault="00F51091">
      <w:r>
        <w:t xml:space="preserve">sudjelovanja na vježbama (stožerne i terenske) civilne zaštite gdje je MUP RCZ partner u provedbi projekta te na </w:t>
      </w:r>
    </w:p>
    <w:p w:rsidR="00A46866" w:rsidRDefault="00F51091">
      <w:r>
        <w:t>vježbi sudjeluju operativne snage civilne zaštite. U 2024. g. planirana su sredstva za plaće 105.000 eur / 46,7% i ostale usluge 32.000 eur / 14,2% te se ostali troškovi odnose na službena putovanja, intelektualne usluge i reprezentaciju. U slijedećoj godini planirana su sredstva kao i u 2024. godini osim za uredski materijal i ostale materijalne rashode i intelektualne i osobne usluge.</w:t>
      </w:r>
    </w:p>
    <w:p w:rsidR="00A46866" w:rsidRDefault="00F51091">
      <w:pPr>
        <w:pStyle w:val="Naslov4"/>
      </w:pPr>
      <w:r>
        <w:lastRenderedPageBreak/>
        <w:t>T863029 IZRADA NACRTA PLANA PODIZANJA SVIJESTI I SUSTAVA ZA PRIKUPLJANJE PODATAKA O GUBITCIMA I ŠTETAMA OD KATASTROFA - DRAW DATA</w:t>
      </w:r>
    </w:p>
    <w:p w:rsidR="00A46866" w:rsidRDefault="00F51091">
      <w:pPr>
        <w:pStyle w:val="Naslov8"/>
        <w:jc w:val="left"/>
      </w:pPr>
      <w:r>
        <w:t>Zakonske i druge pravne osnove</w:t>
      </w:r>
    </w:p>
    <w:p w:rsidR="00A46866" w:rsidRDefault="00F51091">
      <w:r>
        <w:t>UREDBA EUROPSKOG PARLAMENTA I VIJEĆA o izmjeni Odluke br. 1313/2013/EU o Mehanizmu Unije za civilnu zaštititu, Bruxelles, 29. travnja 2021.</w:t>
      </w:r>
    </w:p>
    <w:tbl>
      <w:tblPr>
        <w:tblStyle w:val="StilTablice"/>
        <w:tblW w:w="10206" w:type="dxa"/>
        <w:jc w:val="center"/>
        <w:tblLook w:val="04A0" w:firstRow="1" w:lastRow="0" w:firstColumn="1" w:lastColumn="0" w:noHBand="0" w:noVBand="1"/>
      </w:tblPr>
      <w:tblGrid>
        <w:gridCol w:w="1477"/>
        <w:gridCol w:w="1565"/>
        <w:gridCol w:w="1540"/>
        <w:gridCol w:w="1557"/>
        <w:gridCol w:w="1557"/>
        <w:gridCol w:w="1540"/>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T863029</w:t>
            </w:r>
          </w:p>
        </w:tc>
        <w:tc>
          <w:tcPr>
            <w:tcW w:w="1632" w:type="dxa"/>
            <w:vAlign w:val="top"/>
          </w:tcPr>
          <w:p w:rsidR="00A46866" w:rsidRDefault="00F51091">
            <w:pPr>
              <w:jc w:val="right"/>
            </w:pPr>
            <w:r>
              <w:t>00</w:t>
            </w:r>
          </w:p>
        </w:tc>
        <w:tc>
          <w:tcPr>
            <w:tcW w:w="1632" w:type="dxa"/>
            <w:vAlign w:val="top"/>
          </w:tcPr>
          <w:p w:rsidR="00A46866" w:rsidRDefault="00F51091">
            <w:pPr>
              <w:jc w:val="right"/>
            </w:pPr>
            <w:r>
              <w:t>00</w:t>
            </w:r>
          </w:p>
        </w:tc>
        <w:tc>
          <w:tcPr>
            <w:tcW w:w="1632" w:type="dxa"/>
            <w:vAlign w:val="top"/>
          </w:tcPr>
          <w:p w:rsidR="00A46866" w:rsidRDefault="00F51091">
            <w:pPr>
              <w:jc w:val="right"/>
            </w:pPr>
            <w:r>
              <w:t>438.000</w:t>
            </w:r>
          </w:p>
        </w:tc>
        <w:tc>
          <w:tcPr>
            <w:tcW w:w="1632" w:type="dxa"/>
            <w:vAlign w:val="top"/>
          </w:tcPr>
          <w:p w:rsidR="00A46866" w:rsidRDefault="00F51091">
            <w:pPr>
              <w:jc w:val="right"/>
            </w:pPr>
            <w:r>
              <w:t>233.000</w:t>
            </w:r>
          </w:p>
        </w:tc>
        <w:tc>
          <w:tcPr>
            <w:tcW w:w="1632" w:type="dxa"/>
            <w:vAlign w:val="top"/>
          </w:tcPr>
          <w:p w:rsidR="00A46866" w:rsidRDefault="00F51091">
            <w:pPr>
              <w:jc w:val="right"/>
            </w:pPr>
            <w:r>
              <w:t>00</w:t>
            </w:r>
          </w:p>
        </w:tc>
        <w:tc>
          <w:tcPr>
            <w:tcW w:w="510" w:type="dxa"/>
            <w:vAlign w:val="top"/>
          </w:tcPr>
          <w:p w:rsidR="00A46866" w:rsidRDefault="00F51091">
            <w:pPr>
              <w:jc w:val="right"/>
            </w:pPr>
            <w:r>
              <w:t>0,0</w:t>
            </w:r>
          </w:p>
        </w:tc>
      </w:tr>
    </w:tbl>
    <w:p w:rsidR="00A46866" w:rsidRDefault="00A46866">
      <w:pPr>
        <w:jc w:val="left"/>
      </w:pPr>
    </w:p>
    <w:p w:rsidR="00A46866" w:rsidRDefault="00F51091">
      <w:r>
        <w:t>Prvi cilj projekta je izraditi okvir sustavnog podizanja svijesti javnosti o važnosti i njihovoj ulozi u smanjenju rizika od katastrofa. Drugi cilj projekta je izraditi okvir sustavnog prikupljanja podatka o štetama i procjeni šteta od izvora prema korisnicima, odnosno od lokalne razine do nacionalne razine te do građana, realnog sektora i znanstvene zajednice. Projektom je planirana analiza postojećih baza podataka i kapaciteta prikupljanja i obrade podataka. Kroz projekt planirana su sredstva za plaće 75.000 eur / 17,1%, usluge promidžbe i informiranja 129.000 eur / 29,5% i intelektualne i osobne usluge 134.000 eur / 30,6%. U slijedećoj godini planirana su sredstva kao u 2024. godini osim za intelektualne i osobne usluge.</w:t>
      </w:r>
    </w:p>
    <w:p w:rsidR="00A46866" w:rsidRDefault="00F51091">
      <w:pPr>
        <w:pStyle w:val="Naslov4"/>
      </w:pPr>
      <w:r>
        <w:t>T879009 PRIJELAZNI RESCEU MEHANIZAM</w:t>
      </w:r>
    </w:p>
    <w:p w:rsidR="00A46866" w:rsidRDefault="00F51091">
      <w:pPr>
        <w:pStyle w:val="Naslov8"/>
        <w:jc w:val="left"/>
      </w:pPr>
      <w:r>
        <w:t>Zakonske i druge pravne osnove</w:t>
      </w:r>
    </w:p>
    <w:p w:rsidR="00A46866" w:rsidRDefault="00F51091">
      <w:r>
        <w:t xml:space="preserve">GRANT AGREEMENT FOR AN ACTION UNDER reescEU TRANSITION, AGREEMENT NUMBER - </w:t>
      </w:r>
    </w:p>
    <w:p w:rsidR="00A46866" w:rsidRDefault="00F51091">
      <w:r>
        <w:t>ECHO/RESCEU/TR/ koji se sklapa za svaku godinu.</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T879009</w:t>
            </w:r>
          </w:p>
        </w:tc>
        <w:tc>
          <w:tcPr>
            <w:tcW w:w="1632" w:type="dxa"/>
            <w:vAlign w:val="top"/>
          </w:tcPr>
          <w:p w:rsidR="00A46866" w:rsidRDefault="00F51091">
            <w:pPr>
              <w:jc w:val="right"/>
            </w:pPr>
            <w:r>
              <w:t>1.201.754</w:t>
            </w:r>
          </w:p>
        </w:tc>
        <w:tc>
          <w:tcPr>
            <w:tcW w:w="1632" w:type="dxa"/>
            <w:vAlign w:val="top"/>
          </w:tcPr>
          <w:p w:rsidR="00A46866" w:rsidRDefault="00F51091">
            <w:pPr>
              <w:jc w:val="right"/>
            </w:pPr>
            <w:r>
              <w:t>1.247.000</w:t>
            </w:r>
          </w:p>
        </w:tc>
        <w:tc>
          <w:tcPr>
            <w:tcW w:w="1632" w:type="dxa"/>
            <w:vAlign w:val="top"/>
          </w:tcPr>
          <w:p w:rsidR="00A46866" w:rsidRDefault="00F51091">
            <w:pPr>
              <w:jc w:val="right"/>
            </w:pPr>
            <w:r>
              <w:t>1.247.000</w:t>
            </w:r>
          </w:p>
        </w:tc>
        <w:tc>
          <w:tcPr>
            <w:tcW w:w="1632" w:type="dxa"/>
            <w:vAlign w:val="top"/>
          </w:tcPr>
          <w:p w:rsidR="00A46866" w:rsidRDefault="00F51091">
            <w:pPr>
              <w:jc w:val="right"/>
            </w:pPr>
            <w:r>
              <w:t>1.247.000</w:t>
            </w:r>
          </w:p>
        </w:tc>
        <w:tc>
          <w:tcPr>
            <w:tcW w:w="1632" w:type="dxa"/>
            <w:vAlign w:val="top"/>
          </w:tcPr>
          <w:p w:rsidR="00A46866" w:rsidRDefault="00F51091">
            <w:pPr>
              <w:jc w:val="right"/>
            </w:pPr>
            <w:r>
              <w:t>1.247.000</w:t>
            </w:r>
          </w:p>
        </w:tc>
        <w:tc>
          <w:tcPr>
            <w:tcW w:w="510" w:type="dxa"/>
            <w:vAlign w:val="top"/>
          </w:tcPr>
          <w:p w:rsidR="00A46866" w:rsidRDefault="00F51091">
            <w:pPr>
              <w:jc w:val="right"/>
            </w:pPr>
            <w:r>
              <w:t>100,0</w:t>
            </w:r>
          </w:p>
        </w:tc>
      </w:tr>
    </w:tbl>
    <w:p w:rsidR="00A46866" w:rsidRDefault="00A46866">
      <w:pPr>
        <w:jc w:val="left"/>
      </w:pPr>
    </w:p>
    <w:p w:rsidR="00A46866" w:rsidRDefault="00F51091">
      <w:r>
        <w:t xml:space="preserve">Kroz ovaj projekt će se financirati angažiranje dva kanadera CL 415 koji će po pozivu iz drugih EU zemalja biti </w:t>
      </w:r>
    </w:p>
    <w:p w:rsidR="00A46866" w:rsidRDefault="00F51091">
      <w:r>
        <w:t xml:space="preserve">upućeni u svrhu gašenja požara. Predmetni kanaderi se nalaze u sastavu MORH-a. MUP predmetna sredstva </w:t>
      </w:r>
    </w:p>
    <w:p w:rsidR="00A46866" w:rsidRDefault="00F51091">
      <w:r>
        <w:t xml:space="preserve">doznačava MORH-u nakon što MORH dostavi specifikaciju troškova. Kroz cijelo razdoblje su planirani troškovi na </w:t>
      </w:r>
    </w:p>
    <w:p w:rsidR="00A46866" w:rsidRDefault="00F51091">
      <w:r>
        <w:t xml:space="preserve">način: materijal i dijelovi za tekuće i investicijsko održavanje u iznosu od 265.000 eur / 21,3%, usluge tekućeg </w:t>
      </w:r>
    </w:p>
    <w:p w:rsidR="00A46866" w:rsidRDefault="00F51091">
      <w:r>
        <w:t>ii investicijskog održavanja u iznosu od 530.000 eur / 42,5% i naknade troškova osobama izvan radnog odnosa u iznosu od 398.000 eur / 31,9% te se ostali troškovi odnose na energiju i ostale usluge.</w:t>
      </w:r>
    </w:p>
    <w:p w:rsidR="00A46866" w:rsidRDefault="00F51091">
      <w:pPr>
        <w:pStyle w:val="Naslov4"/>
      </w:pPr>
      <w:r>
        <w:t>T879012 POMOĆ DRŽAVAMA ČLANICAMA U PRIPREMI I IMPLEMENTACIJI AKTIVNOSTI UPRAVLJANJA RIZICIMA - NO RISK BASE</w:t>
      </w:r>
    </w:p>
    <w:p w:rsidR="00A46866" w:rsidRDefault="00F51091">
      <w:pPr>
        <w:pStyle w:val="Naslov8"/>
        <w:jc w:val="left"/>
      </w:pPr>
      <w:r>
        <w:t>Zakonske i druge pravne osnove</w:t>
      </w:r>
    </w:p>
    <w:p w:rsidR="00A46866" w:rsidRDefault="00F51091">
      <w:r>
        <w:t xml:space="preserve">Grant Agreement for an action under the Union Civil Protection Mechanisam (UCPM) – AGREEMENT NUMBER </w:t>
      </w:r>
    </w:p>
    <w:p w:rsidR="00A46866" w:rsidRDefault="00F51091">
      <w:r>
        <w:t>– ECHO/SUB/2021/867614/TRACK1/HR</w:t>
      </w:r>
    </w:p>
    <w:tbl>
      <w:tblPr>
        <w:tblStyle w:val="StilTablice"/>
        <w:tblW w:w="10206" w:type="dxa"/>
        <w:jc w:val="center"/>
        <w:tblLook w:val="04A0" w:firstRow="1" w:lastRow="0" w:firstColumn="1" w:lastColumn="0" w:noHBand="0" w:noVBand="1"/>
      </w:tblPr>
      <w:tblGrid>
        <w:gridCol w:w="1473"/>
        <w:gridCol w:w="1561"/>
        <w:gridCol w:w="1554"/>
        <w:gridCol w:w="1567"/>
        <w:gridCol w:w="1545"/>
        <w:gridCol w:w="1536"/>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T879012</w:t>
            </w:r>
          </w:p>
        </w:tc>
        <w:tc>
          <w:tcPr>
            <w:tcW w:w="1632" w:type="dxa"/>
            <w:vAlign w:val="top"/>
          </w:tcPr>
          <w:p w:rsidR="00A46866" w:rsidRDefault="00F51091">
            <w:pPr>
              <w:jc w:val="right"/>
            </w:pPr>
            <w:r>
              <w:t>287.427</w:t>
            </w:r>
          </w:p>
        </w:tc>
        <w:tc>
          <w:tcPr>
            <w:tcW w:w="1632" w:type="dxa"/>
            <w:vAlign w:val="top"/>
          </w:tcPr>
          <w:p w:rsidR="00A46866" w:rsidRDefault="00F51091">
            <w:pPr>
              <w:jc w:val="right"/>
            </w:pPr>
            <w:r>
              <w:t>273.000</w:t>
            </w:r>
          </w:p>
        </w:tc>
        <w:tc>
          <w:tcPr>
            <w:tcW w:w="1632" w:type="dxa"/>
            <w:vAlign w:val="top"/>
          </w:tcPr>
          <w:p w:rsidR="00A46866" w:rsidRDefault="00F51091">
            <w:pPr>
              <w:jc w:val="right"/>
            </w:pPr>
            <w:r>
              <w:t>1.312.000</w:t>
            </w:r>
          </w:p>
        </w:tc>
        <w:tc>
          <w:tcPr>
            <w:tcW w:w="1632" w:type="dxa"/>
            <w:vAlign w:val="top"/>
          </w:tcPr>
          <w:p w:rsidR="00A46866" w:rsidRDefault="00F51091">
            <w:pPr>
              <w:jc w:val="right"/>
            </w:pPr>
            <w:r>
              <w:t>99.000</w:t>
            </w:r>
          </w:p>
        </w:tc>
        <w:tc>
          <w:tcPr>
            <w:tcW w:w="1632" w:type="dxa"/>
            <w:vAlign w:val="top"/>
          </w:tcPr>
          <w:p w:rsidR="00A46866" w:rsidRDefault="00F51091">
            <w:pPr>
              <w:jc w:val="right"/>
            </w:pPr>
            <w:r>
              <w:t>00</w:t>
            </w:r>
          </w:p>
        </w:tc>
        <w:tc>
          <w:tcPr>
            <w:tcW w:w="510" w:type="dxa"/>
            <w:vAlign w:val="top"/>
          </w:tcPr>
          <w:p w:rsidR="00A46866" w:rsidRDefault="00F51091">
            <w:pPr>
              <w:jc w:val="right"/>
            </w:pPr>
            <w:r>
              <w:t>480,6</w:t>
            </w:r>
          </w:p>
        </w:tc>
      </w:tr>
    </w:tbl>
    <w:p w:rsidR="00A46866" w:rsidRDefault="00A46866">
      <w:pPr>
        <w:jc w:val="left"/>
      </w:pPr>
    </w:p>
    <w:p w:rsidR="00A46866" w:rsidRDefault="00F51091">
      <w:r>
        <w:t xml:space="preserve">Projekt Technical Assistance for the Enhancement of the Civil Protection System in Croatia nastavlja aktivnosti </w:t>
      </w:r>
    </w:p>
    <w:p w:rsidR="00A46866" w:rsidRDefault="00F51091">
      <w:r>
        <w:lastRenderedPageBreak/>
        <w:t xml:space="preserve">započete u prethodnim godinama, a koje se odnose na razradu projektne dokumentacije i pripremu projekata </w:t>
      </w:r>
    </w:p>
    <w:p w:rsidR="00A46866" w:rsidRDefault="00F51091">
      <w:r>
        <w:t xml:space="preserve">Ravnateljstva civilne zaštite. Planira se provesti niz stručnih edukacija na temu projekata i unaprjeđenje tehničkih </w:t>
      </w:r>
    </w:p>
    <w:p w:rsidR="00A46866" w:rsidRDefault="00F51091">
      <w:r>
        <w:t xml:space="preserve">znanja projektnih timova što bi trebalo doprinijeti spremnosti projektnih timova kod provedbe projekata u </w:t>
      </w:r>
    </w:p>
    <w:p w:rsidR="00A46866" w:rsidRDefault="00F51091">
      <w:r>
        <w:t xml:space="preserve">financijskom razdoblju 2021.-2027. Kroz projekt će biti angažirano više stručnjaka iz različitih područja koji će </w:t>
      </w:r>
    </w:p>
    <w:p w:rsidR="00A46866" w:rsidRDefault="00F51091">
      <w:r>
        <w:t xml:space="preserve">doprinijeti u razvoju temeljnih dokumenata za prijavu projekata predviđenih u programiranju. Već stvorena baza </w:t>
      </w:r>
    </w:p>
    <w:p w:rsidR="00A46866" w:rsidRDefault="00F51091">
      <w:r>
        <w:t xml:space="preserve">projekata i dalje će se razvijati u narednim godinama kroz izradu konkretne dokumentacije koje će po završetku </w:t>
      </w:r>
    </w:p>
    <w:p w:rsidR="00A46866" w:rsidRDefault="00F51091">
      <w:r>
        <w:t xml:space="preserve">projekta rezultirati sa tri konkretna projektna prijedloga spremna za prijavu. </w:t>
      </w:r>
    </w:p>
    <w:p w:rsidR="00A46866" w:rsidRDefault="00F51091">
      <w:r>
        <w:t>Kroz projekt u 2024.g. planirana su sredstva za plaće 336.000 eur / 25,6%, intelektualne i osobne usluge 853.000 eur / 65% a ostali troškovi se odnose na službena putovanja, stručno usavršavanje zaposlenika, naknade osobama izvan radnog odnosa i ostale usluge. U 2025.g. planirana su sredstva za plaće, službena putovanja, zakupnine i najamnine i intelektualne i osobne usluge.</w:t>
      </w:r>
    </w:p>
    <w:p w:rsidR="00A46866" w:rsidRDefault="00F51091">
      <w:pPr>
        <w:pStyle w:val="Naslov4"/>
      </w:pPr>
      <w:r>
        <w:t>T879030 OPERATIVNE SNAGE CIVILNE ZAŠTITE ZA ZAŠTITU KULTURNE BAŠTINE</w:t>
      </w:r>
    </w:p>
    <w:p w:rsidR="00A46866" w:rsidRDefault="00F51091">
      <w:pPr>
        <w:pStyle w:val="Naslov8"/>
        <w:jc w:val="left"/>
      </w:pPr>
      <w:r>
        <w:t>Zakonske i druge pravne osnove</w:t>
      </w:r>
    </w:p>
    <w:p w:rsidR="00A46866" w:rsidRDefault="00F51091">
      <w:r>
        <w:t>UREDBA EUROPSKOG PARLAMENTA I VIJEĆA o izmjeni Odluke br. 1313/2013/EU o Mehanizmu Unije za civilnu zaštitu, Bruxelles, 29. travnja 2021.</w:t>
      </w:r>
    </w:p>
    <w:tbl>
      <w:tblPr>
        <w:tblStyle w:val="StilTablice"/>
        <w:tblW w:w="10206" w:type="dxa"/>
        <w:jc w:val="center"/>
        <w:tblLook w:val="04A0" w:firstRow="1" w:lastRow="0" w:firstColumn="1" w:lastColumn="0" w:noHBand="0" w:noVBand="1"/>
      </w:tblPr>
      <w:tblGrid>
        <w:gridCol w:w="1477"/>
        <w:gridCol w:w="1566"/>
        <w:gridCol w:w="1542"/>
        <w:gridCol w:w="1559"/>
        <w:gridCol w:w="1550"/>
        <w:gridCol w:w="1542"/>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T879030</w:t>
            </w:r>
          </w:p>
        </w:tc>
        <w:tc>
          <w:tcPr>
            <w:tcW w:w="1632" w:type="dxa"/>
            <w:vAlign w:val="top"/>
          </w:tcPr>
          <w:p w:rsidR="00A46866" w:rsidRDefault="00F51091">
            <w:pPr>
              <w:jc w:val="right"/>
            </w:pPr>
            <w:r>
              <w:t>00</w:t>
            </w:r>
          </w:p>
        </w:tc>
        <w:tc>
          <w:tcPr>
            <w:tcW w:w="1632" w:type="dxa"/>
            <w:vAlign w:val="top"/>
          </w:tcPr>
          <w:p w:rsidR="00A46866" w:rsidRDefault="00F51091">
            <w:pPr>
              <w:jc w:val="right"/>
            </w:pPr>
            <w:r>
              <w:t>00</w:t>
            </w:r>
          </w:p>
        </w:tc>
        <w:tc>
          <w:tcPr>
            <w:tcW w:w="1632" w:type="dxa"/>
            <w:vAlign w:val="top"/>
          </w:tcPr>
          <w:p w:rsidR="00A46866" w:rsidRDefault="00F51091">
            <w:pPr>
              <w:jc w:val="right"/>
            </w:pPr>
            <w:r>
              <w:t>460.000</w:t>
            </w:r>
          </w:p>
        </w:tc>
        <w:tc>
          <w:tcPr>
            <w:tcW w:w="1632" w:type="dxa"/>
            <w:vAlign w:val="top"/>
          </w:tcPr>
          <w:p w:rsidR="00A46866" w:rsidRDefault="00F51091">
            <w:pPr>
              <w:jc w:val="right"/>
            </w:pPr>
            <w:r>
              <w:t>12.000</w:t>
            </w:r>
          </w:p>
        </w:tc>
        <w:tc>
          <w:tcPr>
            <w:tcW w:w="1632" w:type="dxa"/>
            <w:vAlign w:val="top"/>
          </w:tcPr>
          <w:p w:rsidR="00A46866" w:rsidRDefault="00F51091">
            <w:pPr>
              <w:jc w:val="right"/>
            </w:pPr>
            <w:r>
              <w:t>00</w:t>
            </w:r>
          </w:p>
        </w:tc>
        <w:tc>
          <w:tcPr>
            <w:tcW w:w="510" w:type="dxa"/>
            <w:vAlign w:val="top"/>
          </w:tcPr>
          <w:p w:rsidR="00A46866" w:rsidRDefault="00F51091">
            <w:pPr>
              <w:jc w:val="right"/>
            </w:pPr>
            <w:r>
              <w:t>0,0</w:t>
            </w:r>
          </w:p>
        </w:tc>
      </w:tr>
    </w:tbl>
    <w:p w:rsidR="00A46866" w:rsidRDefault="00A46866">
      <w:pPr>
        <w:jc w:val="left"/>
      </w:pPr>
    </w:p>
    <w:p w:rsidR="00A46866" w:rsidRDefault="00F51091">
      <w:r>
        <w:t>Cilj projekta je unaprijediti postojeće kompetencije operativnih snaga civilne zaštite u suradnji s djelatnicima Ministarstva kulture i medija s temom zaštite kulturne baštine u izvanrednim situacijama. Kroz projekt su planirana sredstva za plaće 215.000 eur / 46,7% i ostale usluge 171.000 eur / 37,2% te se ostali troškovi odnose na službena putovanja, usluge promidžbe i informiranja, zakupnine i najamnine i naknade troškova osobama izvan radnog odnosa. U slijedećoj godini planirana su sredstva za zakupnine i najamnine, intelektualne i osobne usluge i ostale usluge. Planirani datum završetka projekta je 31.12.2025. godine.</w:t>
      </w:r>
    </w:p>
    <w:p w:rsidR="00A46866" w:rsidRDefault="00F51091">
      <w:pPr>
        <w:pStyle w:val="Naslov4"/>
      </w:pPr>
      <w:r>
        <w:t>A672007 RAZMINIRANJE</w:t>
      </w:r>
    </w:p>
    <w:p w:rsidR="00A46866" w:rsidRDefault="00F51091">
      <w:pPr>
        <w:pStyle w:val="Naslov8"/>
        <w:jc w:val="left"/>
      </w:pPr>
      <w:r>
        <w:t>Zakonske i druge pravne osnove</w:t>
      </w:r>
    </w:p>
    <w:p w:rsidR="00A46866" w:rsidRDefault="00F51091">
      <w:r>
        <w:t xml:space="preserve">Članak 7. točka 2. Zakon o protuminskom djelovanju, Nacionalni program protuminskog djelovanja Republike </w:t>
      </w:r>
    </w:p>
    <w:p w:rsidR="00A46866" w:rsidRDefault="00F51091">
      <w:r>
        <w:t xml:space="preserve">Hrvatske, Konvencija o zabrani uporabe, stvaranja zaliha, proizvodnje i transporta protupješačkih mina i o </w:t>
      </w:r>
    </w:p>
    <w:p w:rsidR="00A46866" w:rsidRDefault="00F51091">
      <w:r>
        <w:t>njihovom uništenju (Ottawska konvencija), Konvencija o kazetnom streljivu.</w:t>
      </w:r>
    </w:p>
    <w:tbl>
      <w:tblPr>
        <w:tblStyle w:val="StilTablice"/>
        <w:tblW w:w="10206" w:type="dxa"/>
        <w:jc w:val="center"/>
        <w:tblLook w:val="04A0" w:firstRow="1" w:lastRow="0" w:firstColumn="1" w:lastColumn="0" w:noHBand="0" w:noVBand="1"/>
      </w:tblPr>
      <w:tblGrid>
        <w:gridCol w:w="1452"/>
        <w:gridCol w:w="1556"/>
        <w:gridCol w:w="1557"/>
        <w:gridCol w:w="1557"/>
        <w:gridCol w:w="1557"/>
        <w:gridCol w:w="1557"/>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A672007</w:t>
            </w:r>
          </w:p>
        </w:tc>
        <w:tc>
          <w:tcPr>
            <w:tcW w:w="1632" w:type="dxa"/>
            <w:vAlign w:val="top"/>
          </w:tcPr>
          <w:p w:rsidR="00A46866" w:rsidRDefault="00F51091">
            <w:pPr>
              <w:jc w:val="right"/>
            </w:pPr>
            <w:r>
              <w:t>28.128.081</w:t>
            </w:r>
          </w:p>
        </w:tc>
        <w:tc>
          <w:tcPr>
            <w:tcW w:w="1632" w:type="dxa"/>
            <w:vAlign w:val="top"/>
          </w:tcPr>
          <w:p w:rsidR="00A46866" w:rsidRDefault="00F51091">
            <w:pPr>
              <w:jc w:val="right"/>
            </w:pPr>
            <w:r>
              <w:t>30.056.000</w:t>
            </w:r>
          </w:p>
        </w:tc>
        <w:tc>
          <w:tcPr>
            <w:tcW w:w="1632" w:type="dxa"/>
            <w:vAlign w:val="top"/>
          </w:tcPr>
          <w:p w:rsidR="00A46866" w:rsidRDefault="00F51091">
            <w:pPr>
              <w:jc w:val="right"/>
            </w:pPr>
            <w:r>
              <w:t>29.833.000</w:t>
            </w:r>
          </w:p>
        </w:tc>
        <w:tc>
          <w:tcPr>
            <w:tcW w:w="1632" w:type="dxa"/>
            <w:vAlign w:val="top"/>
          </w:tcPr>
          <w:p w:rsidR="00A46866" w:rsidRDefault="00F51091">
            <w:pPr>
              <w:jc w:val="right"/>
            </w:pPr>
            <w:r>
              <w:t>29.233.000</w:t>
            </w:r>
          </w:p>
        </w:tc>
        <w:tc>
          <w:tcPr>
            <w:tcW w:w="1632" w:type="dxa"/>
            <w:vAlign w:val="top"/>
          </w:tcPr>
          <w:p w:rsidR="00A46866" w:rsidRDefault="00F51091">
            <w:pPr>
              <w:jc w:val="right"/>
            </w:pPr>
            <w:r>
              <w:t>29.833.000</w:t>
            </w:r>
          </w:p>
        </w:tc>
        <w:tc>
          <w:tcPr>
            <w:tcW w:w="510" w:type="dxa"/>
            <w:vAlign w:val="top"/>
          </w:tcPr>
          <w:p w:rsidR="00A46866" w:rsidRDefault="00F51091">
            <w:pPr>
              <w:jc w:val="right"/>
            </w:pPr>
            <w:r>
              <w:t>99,3</w:t>
            </w:r>
          </w:p>
        </w:tc>
      </w:tr>
    </w:tbl>
    <w:p w:rsidR="00A46866" w:rsidRDefault="00A46866">
      <w:pPr>
        <w:jc w:val="left"/>
      </w:pPr>
    </w:p>
    <w:p w:rsidR="00A46866" w:rsidRDefault="00F51091">
      <w:r>
        <w:t xml:space="preserve">Cilj ove aktivnosti je potpuno uklanjanje mina i eksplozivnih sredstava kao preduvjeta za stvaranje sigurnog </w:t>
      </w:r>
    </w:p>
    <w:p w:rsidR="00A46866" w:rsidRDefault="00F51091">
      <w:r>
        <w:t xml:space="preserve">okoliša, održivog povratka, socijalno-ekonomskog i gospodarskog razvoja, te opće sigurnosti, u skladu sa </w:t>
      </w:r>
    </w:p>
    <w:p w:rsidR="00A46866" w:rsidRDefault="00F51091">
      <w:r>
        <w:t>strateškim dokumentima i Nacionalnim planom protuminskog djelovanja. Najveća stavka je financiranje usluge razminiranja u iznosu od 29.202.000 eur / 97,9% u okviru ove aktivnosti planirana su i sredstva za geodetsku izmjeru nakon završenih poslova razminiranja, uslugu saniteta na terenu, te nabavku oznaka za obilježavanje opasnosti od mina. Za naredne dvije godine planirani su troškovi kao i za 2024. godinu.</w:t>
      </w:r>
    </w:p>
    <w:p w:rsidR="00A46866" w:rsidRDefault="00F51091">
      <w:pPr>
        <w:pStyle w:val="Naslov4"/>
      </w:pPr>
      <w:r>
        <w:lastRenderedPageBreak/>
        <w:t>K879024 RAZMINIRANJE VIŠEGODIŠNJI OKVIR 2021.-2027.</w:t>
      </w:r>
    </w:p>
    <w:p w:rsidR="00A46866" w:rsidRDefault="00F51091">
      <w:pPr>
        <w:pStyle w:val="Naslov8"/>
        <w:jc w:val="left"/>
      </w:pPr>
      <w:r>
        <w:t>Zakonske i druge pravne osnove</w:t>
      </w:r>
    </w:p>
    <w:p w:rsidR="00A46866" w:rsidRDefault="00F51091">
      <w:r>
        <w:t xml:space="preserve">Operativni program Konkurentnost i kohezija 2021.-2027. (OPKK); financiranje iz europskog fonda za regionalni </w:t>
      </w:r>
    </w:p>
    <w:p w:rsidR="00A46866" w:rsidRDefault="00F51091">
      <w:r>
        <w:t xml:space="preserve">razvoj i Kohezijskog fonda; Uredbi (EU) 2021/1058) Europskog Parlamenta i Vijeća od 24. lipnja 2021. o </w:t>
      </w:r>
    </w:p>
    <w:p w:rsidR="00A46866" w:rsidRDefault="00F51091">
      <w:r>
        <w:t>Europskom fondu za regionalni razvoj i Kohezijskom fondu</w:t>
      </w:r>
    </w:p>
    <w:tbl>
      <w:tblPr>
        <w:tblStyle w:val="StilTablice"/>
        <w:tblW w:w="10206" w:type="dxa"/>
        <w:jc w:val="center"/>
        <w:tblLook w:val="04A0" w:firstRow="1" w:lastRow="0" w:firstColumn="1" w:lastColumn="0" w:noHBand="0" w:noVBand="1"/>
      </w:tblPr>
      <w:tblGrid>
        <w:gridCol w:w="1456"/>
        <w:gridCol w:w="1559"/>
        <w:gridCol w:w="1558"/>
        <w:gridCol w:w="1558"/>
        <w:gridCol w:w="1558"/>
        <w:gridCol w:w="1547"/>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K879024</w:t>
            </w:r>
          </w:p>
        </w:tc>
        <w:tc>
          <w:tcPr>
            <w:tcW w:w="1632" w:type="dxa"/>
            <w:vAlign w:val="top"/>
          </w:tcPr>
          <w:p w:rsidR="00A46866" w:rsidRDefault="00F51091">
            <w:pPr>
              <w:jc w:val="right"/>
            </w:pPr>
            <w:r>
              <w:t>13.866.603</w:t>
            </w:r>
          </w:p>
        </w:tc>
        <w:tc>
          <w:tcPr>
            <w:tcW w:w="1632" w:type="dxa"/>
            <w:vAlign w:val="top"/>
          </w:tcPr>
          <w:p w:rsidR="00A46866" w:rsidRDefault="00F51091">
            <w:pPr>
              <w:jc w:val="right"/>
            </w:pPr>
            <w:r>
              <w:t>22.640.900</w:t>
            </w:r>
          </w:p>
        </w:tc>
        <w:tc>
          <w:tcPr>
            <w:tcW w:w="1632" w:type="dxa"/>
            <w:vAlign w:val="top"/>
          </w:tcPr>
          <w:p w:rsidR="00A46866" w:rsidRDefault="00F51091">
            <w:pPr>
              <w:jc w:val="right"/>
            </w:pPr>
            <w:r>
              <w:t>28.744.000</w:t>
            </w:r>
          </w:p>
        </w:tc>
        <w:tc>
          <w:tcPr>
            <w:tcW w:w="1632" w:type="dxa"/>
            <w:vAlign w:val="top"/>
          </w:tcPr>
          <w:p w:rsidR="00A46866" w:rsidRDefault="00F51091">
            <w:pPr>
              <w:jc w:val="right"/>
            </w:pPr>
            <w:r>
              <w:t>42.565.000</w:t>
            </w:r>
          </w:p>
        </w:tc>
        <w:tc>
          <w:tcPr>
            <w:tcW w:w="1632" w:type="dxa"/>
            <w:vAlign w:val="top"/>
          </w:tcPr>
          <w:p w:rsidR="00A46866" w:rsidRDefault="00F51091">
            <w:pPr>
              <w:jc w:val="right"/>
            </w:pPr>
            <w:r>
              <w:t>7.853.000</w:t>
            </w:r>
          </w:p>
        </w:tc>
        <w:tc>
          <w:tcPr>
            <w:tcW w:w="510" w:type="dxa"/>
            <w:vAlign w:val="top"/>
          </w:tcPr>
          <w:p w:rsidR="00A46866" w:rsidRDefault="00F51091">
            <w:pPr>
              <w:jc w:val="right"/>
            </w:pPr>
            <w:r>
              <w:t>127,0</w:t>
            </w:r>
          </w:p>
        </w:tc>
      </w:tr>
    </w:tbl>
    <w:p w:rsidR="00A46866" w:rsidRDefault="00A46866">
      <w:pPr>
        <w:jc w:val="left"/>
      </w:pPr>
    </w:p>
    <w:p w:rsidR="00A46866" w:rsidRDefault="00F51091">
      <w:r>
        <w:t xml:space="preserve">U sklopu Programa Konkurentnost i kohezija 2021.-2027., u okviru posebnog cilja „Promicanje prilagodbe </w:t>
      </w:r>
    </w:p>
    <w:p w:rsidR="00A46866" w:rsidRDefault="00F51091">
      <w:r>
        <w:t xml:space="preserve">klimatskim promjenama i sprječavanja rizika od katastrofa te otpornosti, uzimajući u obzir pristupe utemeljene na </w:t>
      </w:r>
    </w:p>
    <w:p w:rsidR="00A46866" w:rsidRDefault="00F51091">
      <w:r>
        <w:t>ekosustavima“ planira se u 2024. godini za usluge razminiranja iznos od 28.744.000 eur / 100 %. Za 2025. godinu planirano je za navedene usluge 42.565.000 eur / 100%, a za 2026. godinu iznos od 7.853.000 eur / 100%.</w:t>
      </w:r>
    </w:p>
    <w:p w:rsidR="00A46866" w:rsidRDefault="00F51091">
      <w:pPr>
        <w:pStyle w:val="Naslov4"/>
      </w:pPr>
      <w:r>
        <w:t>T672042 ŠVICARSKO-HRVATSKI PROGRAM SURADNJE „RAZMINIRANJE I DRUŠTVENO – GOSPODARSKA INTEGRACIJA“</w:t>
      </w:r>
    </w:p>
    <w:p w:rsidR="00A46866" w:rsidRDefault="00F51091">
      <w:pPr>
        <w:pStyle w:val="Naslov8"/>
        <w:jc w:val="left"/>
      </w:pPr>
      <w:r>
        <w:t>Zakonske i druge pravne osnove</w:t>
      </w:r>
    </w:p>
    <w:p w:rsidR="00A46866" w:rsidRDefault="00F51091">
      <w:r>
        <w:t xml:space="preserve">Zakon o potvrđivanju Okvirnog sporazuma između Švicarskog saveznog vijeća i Vlade Republike Hrvatske o </w:t>
      </w:r>
    </w:p>
    <w:p w:rsidR="00A46866" w:rsidRDefault="00F51091">
      <w:r>
        <w:t xml:space="preserve">provedbi Švicarsko-hrvatskog programa suradnje na smanjenju ekonomskih i socijalnih nejednakosti unutar </w:t>
      </w:r>
    </w:p>
    <w:p w:rsidR="00A46866" w:rsidRDefault="00F51091">
      <w:r>
        <w:t xml:space="preserve">proširene Europske unije; Projektni ugovor zaključen između Švicarske agencije za razvoj i suradnju, te </w:t>
      </w:r>
    </w:p>
    <w:p w:rsidR="00A46866" w:rsidRDefault="00F51091">
      <w:r>
        <w:t xml:space="preserve">Ministarstva regionalnog razvoja vezano uz Grant ugovor "Razminiranje i društveno- gospodarska integracija", </w:t>
      </w:r>
    </w:p>
    <w:p w:rsidR="00A46866" w:rsidRDefault="00F51091">
      <w:r>
        <w:t xml:space="preserve">(zaključak 31.5.2017. godine; Hrvatski centar za razminiranje-provedbeno tijelo); Zakon o protuminskom </w:t>
      </w:r>
    </w:p>
    <w:p w:rsidR="00A46866" w:rsidRDefault="00F51091">
      <w:r>
        <w:t xml:space="preserve">djelovanju, čl. 7.st. 1.- st. 4. Plan protuminskog djelovanja, Financijski plan; čl. 7.st.5-st. 8- nabava usluga </w:t>
      </w:r>
    </w:p>
    <w:p w:rsidR="00A46866" w:rsidRDefault="00F51091">
      <w:r>
        <w:t>razminiranja.</w:t>
      </w:r>
    </w:p>
    <w:tbl>
      <w:tblPr>
        <w:tblStyle w:val="StilTablice"/>
        <w:tblW w:w="10206" w:type="dxa"/>
        <w:jc w:val="center"/>
        <w:tblLook w:val="04A0" w:firstRow="1" w:lastRow="0" w:firstColumn="1" w:lastColumn="0" w:noHBand="0" w:noVBand="1"/>
      </w:tblPr>
      <w:tblGrid>
        <w:gridCol w:w="1474"/>
        <w:gridCol w:w="1568"/>
        <w:gridCol w:w="1568"/>
        <w:gridCol w:w="1554"/>
        <w:gridCol w:w="1536"/>
        <w:gridCol w:w="1536"/>
        <w:gridCol w:w="970"/>
      </w:tblGrid>
      <w:tr w:rsidR="00A46866">
        <w:trPr>
          <w:jc w:val="center"/>
        </w:trPr>
        <w:tc>
          <w:tcPr>
            <w:tcW w:w="1530" w:type="dxa"/>
            <w:shd w:val="clear" w:color="auto" w:fill="B5C0D8"/>
          </w:tcPr>
          <w:p w:rsidR="00A46866" w:rsidRDefault="00F51091">
            <w:pPr>
              <w:pStyle w:val="CellHeader"/>
              <w:jc w:val="center"/>
            </w:pPr>
            <w:r>
              <w:rPr>
                <w:rFonts w:cs="Times New Roman"/>
              </w:rPr>
              <w:t>Naziv aktivnosti</w:t>
            </w:r>
          </w:p>
        </w:tc>
        <w:tc>
          <w:tcPr>
            <w:tcW w:w="1632" w:type="dxa"/>
            <w:shd w:val="clear" w:color="auto" w:fill="B5C0D8"/>
          </w:tcPr>
          <w:p w:rsidR="00A46866" w:rsidRDefault="00F51091">
            <w:pPr>
              <w:pStyle w:val="CellHeader"/>
              <w:jc w:val="center"/>
            </w:pPr>
            <w:r>
              <w:rPr>
                <w:rFonts w:cs="Times New Roman"/>
              </w:rPr>
              <w:t>Izvršenje 2022.</w:t>
            </w:r>
          </w:p>
        </w:tc>
        <w:tc>
          <w:tcPr>
            <w:tcW w:w="1632" w:type="dxa"/>
            <w:shd w:val="clear" w:color="auto" w:fill="B5C0D8"/>
          </w:tcPr>
          <w:p w:rsidR="00A46866" w:rsidRDefault="00F51091">
            <w:pPr>
              <w:pStyle w:val="CellHeader"/>
              <w:jc w:val="center"/>
            </w:pPr>
            <w:r>
              <w:rPr>
                <w:rFonts w:cs="Times New Roman"/>
              </w:rPr>
              <w:t>Plan 2023.</w:t>
            </w:r>
          </w:p>
        </w:tc>
        <w:tc>
          <w:tcPr>
            <w:tcW w:w="1632" w:type="dxa"/>
            <w:shd w:val="clear" w:color="auto" w:fill="B5C0D8"/>
          </w:tcPr>
          <w:p w:rsidR="00A46866" w:rsidRDefault="00F51091">
            <w:pPr>
              <w:pStyle w:val="CellHeader"/>
              <w:jc w:val="center"/>
            </w:pPr>
            <w:r>
              <w:rPr>
                <w:rFonts w:cs="Times New Roman"/>
              </w:rPr>
              <w:t>Plan 2024.</w:t>
            </w:r>
          </w:p>
        </w:tc>
        <w:tc>
          <w:tcPr>
            <w:tcW w:w="1632" w:type="dxa"/>
            <w:shd w:val="clear" w:color="auto" w:fill="B5C0D8"/>
          </w:tcPr>
          <w:p w:rsidR="00A46866" w:rsidRDefault="00F51091">
            <w:pPr>
              <w:pStyle w:val="CellHeader"/>
              <w:jc w:val="center"/>
            </w:pPr>
            <w:r>
              <w:rPr>
                <w:rFonts w:cs="Times New Roman"/>
              </w:rPr>
              <w:t>Plan 2025.</w:t>
            </w:r>
          </w:p>
        </w:tc>
        <w:tc>
          <w:tcPr>
            <w:tcW w:w="1632" w:type="dxa"/>
            <w:shd w:val="clear" w:color="auto" w:fill="B5C0D8"/>
          </w:tcPr>
          <w:p w:rsidR="00A46866" w:rsidRDefault="00F51091">
            <w:pPr>
              <w:pStyle w:val="CellHeader"/>
              <w:jc w:val="center"/>
            </w:pPr>
            <w:r>
              <w:rPr>
                <w:rFonts w:cs="Times New Roman"/>
              </w:rPr>
              <w:t>Plan 2026.</w:t>
            </w:r>
          </w:p>
        </w:tc>
        <w:tc>
          <w:tcPr>
            <w:tcW w:w="510" w:type="dxa"/>
            <w:shd w:val="clear" w:color="auto" w:fill="B5C0D8"/>
          </w:tcPr>
          <w:p w:rsidR="00A46866" w:rsidRDefault="00F51091">
            <w:pPr>
              <w:pStyle w:val="CellHeader"/>
              <w:jc w:val="center"/>
            </w:pPr>
            <w:r>
              <w:rPr>
                <w:rFonts w:cs="Times New Roman"/>
              </w:rPr>
              <w:t>Indeks 2024/2023</w:t>
            </w:r>
          </w:p>
        </w:tc>
      </w:tr>
      <w:tr w:rsidR="00A46866">
        <w:trPr>
          <w:jc w:val="center"/>
        </w:trPr>
        <w:tc>
          <w:tcPr>
            <w:tcW w:w="1530" w:type="dxa"/>
            <w:vAlign w:val="top"/>
          </w:tcPr>
          <w:p w:rsidR="00A46866" w:rsidRDefault="00F51091">
            <w:pPr>
              <w:pStyle w:val="CellColumn"/>
              <w:jc w:val="left"/>
            </w:pPr>
            <w:r>
              <w:rPr>
                <w:rFonts w:cs="Times New Roman"/>
              </w:rPr>
              <w:t>T672042</w:t>
            </w:r>
          </w:p>
        </w:tc>
        <w:tc>
          <w:tcPr>
            <w:tcW w:w="1632" w:type="dxa"/>
            <w:vAlign w:val="top"/>
          </w:tcPr>
          <w:p w:rsidR="00A46866" w:rsidRDefault="00F51091">
            <w:pPr>
              <w:jc w:val="right"/>
            </w:pPr>
            <w:r>
              <w:t>1.340.047</w:t>
            </w:r>
          </w:p>
        </w:tc>
        <w:tc>
          <w:tcPr>
            <w:tcW w:w="1632" w:type="dxa"/>
            <w:vAlign w:val="top"/>
          </w:tcPr>
          <w:p w:rsidR="00A46866" w:rsidRDefault="00F51091">
            <w:pPr>
              <w:jc w:val="right"/>
            </w:pPr>
            <w:r>
              <w:t>1.365.100</w:t>
            </w:r>
          </w:p>
        </w:tc>
        <w:tc>
          <w:tcPr>
            <w:tcW w:w="1632" w:type="dxa"/>
            <w:vAlign w:val="top"/>
          </w:tcPr>
          <w:p w:rsidR="00A46866" w:rsidRDefault="00F51091">
            <w:pPr>
              <w:jc w:val="right"/>
            </w:pPr>
            <w:r>
              <w:t>155.000</w:t>
            </w:r>
          </w:p>
        </w:tc>
        <w:tc>
          <w:tcPr>
            <w:tcW w:w="1632" w:type="dxa"/>
            <w:vAlign w:val="top"/>
          </w:tcPr>
          <w:p w:rsidR="00A46866" w:rsidRDefault="00F51091">
            <w:pPr>
              <w:jc w:val="right"/>
            </w:pPr>
            <w:r>
              <w:t>00</w:t>
            </w:r>
          </w:p>
        </w:tc>
        <w:tc>
          <w:tcPr>
            <w:tcW w:w="1632" w:type="dxa"/>
            <w:vAlign w:val="top"/>
          </w:tcPr>
          <w:p w:rsidR="00A46866" w:rsidRDefault="00F51091">
            <w:pPr>
              <w:jc w:val="right"/>
            </w:pPr>
            <w:r>
              <w:t>00</w:t>
            </w:r>
          </w:p>
        </w:tc>
        <w:tc>
          <w:tcPr>
            <w:tcW w:w="510" w:type="dxa"/>
            <w:vAlign w:val="top"/>
          </w:tcPr>
          <w:p w:rsidR="00A46866" w:rsidRDefault="00F51091">
            <w:pPr>
              <w:jc w:val="right"/>
            </w:pPr>
            <w:r>
              <w:t>11,4</w:t>
            </w:r>
          </w:p>
        </w:tc>
      </w:tr>
    </w:tbl>
    <w:p w:rsidR="00A46866" w:rsidRDefault="00A46866">
      <w:pPr>
        <w:jc w:val="left"/>
      </w:pPr>
    </w:p>
    <w:p w:rsidR="00A46866" w:rsidRDefault="00F51091">
      <w:r>
        <w:t>Nakon završetka fizičkog razminiranja u tijeku je provedba tzv. „soft“ komponente projekta kojom će se osigurati psihosocijalno i društveno-gospodarsko osnaživanje žrtava mina i članova njihovih obitelji. U 2024. planirano je za promidžbu i informiranje 4.000 eur / 80% i za intelektualne i osobne usluge 1.000 eur / 20%. Planirani završetak ugovora je 10.12.2024. godine.</w:t>
      </w:r>
    </w:p>
    <w:sectPr w:rsidR="00A46866" w:rsidSect="00F91724">
      <w:headerReference w:type="default" r:id="rId10"/>
      <w:footerReference w:type="default" r:id="rId11"/>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A21" w:rsidRDefault="00890A21" w:rsidP="00F352E6">
      <w:r>
        <w:separator/>
      </w:r>
    </w:p>
  </w:endnote>
  <w:endnote w:type="continuationSeparator" w:id="0">
    <w:p w:rsidR="00890A21" w:rsidRDefault="00890A21"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890A21" w:rsidP="007D4430">
    <w:pPr>
      <w:pStyle w:val="Podnoje"/>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A21" w:rsidRDefault="00890A21" w:rsidP="00F352E6">
      <w:r>
        <w:separator/>
      </w:r>
    </w:p>
  </w:footnote>
  <w:footnote w:type="continuationSeparator" w:id="0">
    <w:p w:rsidR="00890A21" w:rsidRDefault="00890A21"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890A21" w:rsidP="00A70582">
    <w:pPr>
      <w:pStyle w:val="Zaglavlje"/>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854A6"/>
    <w:rsid w:val="005A70C0"/>
    <w:rsid w:val="005B6ED7"/>
    <w:rsid w:val="005E2D85"/>
    <w:rsid w:val="00633683"/>
    <w:rsid w:val="00674346"/>
    <w:rsid w:val="006B3283"/>
    <w:rsid w:val="007665AA"/>
    <w:rsid w:val="007A7E45"/>
    <w:rsid w:val="007D1C46"/>
    <w:rsid w:val="007D395B"/>
    <w:rsid w:val="007D4430"/>
    <w:rsid w:val="00847495"/>
    <w:rsid w:val="008636E2"/>
    <w:rsid w:val="00890A21"/>
    <w:rsid w:val="008A7E2A"/>
    <w:rsid w:val="009359F2"/>
    <w:rsid w:val="0094382E"/>
    <w:rsid w:val="00951B1A"/>
    <w:rsid w:val="009E33D3"/>
    <w:rsid w:val="00A021A2"/>
    <w:rsid w:val="00A320E5"/>
    <w:rsid w:val="00A46866"/>
    <w:rsid w:val="00A70582"/>
    <w:rsid w:val="00AB5FEA"/>
    <w:rsid w:val="00AB7B4E"/>
    <w:rsid w:val="00B15946"/>
    <w:rsid w:val="00B2737F"/>
    <w:rsid w:val="00B31E2E"/>
    <w:rsid w:val="00B41BF8"/>
    <w:rsid w:val="00BA487B"/>
    <w:rsid w:val="00BA7BD1"/>
    <w:rsid w:val="00BB642B"/>
    <w:rsid w:val="00BF02E9"/>
    <w:rsid w:val="00BF3F24"/>
    <w:rsid w:val="00C45B75"/>
    <w:rsid w:val="00C7470A"/>
    <w:rsid w:val="00DE2416"/>
    <w:rsid w:val="00E42E87"/>
    <w:rsid w:val="00E62EF0"/>
    <w:rsid w:val="00ED0E3A"/>
    <w:rsid w:val="00F352E6"/>
    <w:rsid w:val="00F51091"/>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A44B0F619CA40B101162FF1F7B393" ma:contentTypeVersion="0" ma:contentTypeDescription="Create a new document." ma:contentTypeScope="" ma:versionID="caffa7f5a392d620e85fa1cc3d32acd4">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D0E19-2745-4127-96AD-4571A9782D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029A47-84A7-46E4-B23E-91D014DDF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C4C6FB-61EC-4921-9B88-3F7D37C22585}">
  <ds:schemaRefs>
    <ds:schemaRef ds:uri="http://schemas.microsoft.com/sharepoint/v3/contenttype/forms"/>
  </ds:schemaRefs>
</ds:datastoreItem>
</file>

<file path=customXml/itemProps4.xml><?xml version="1.0" encoding="utf-8"?>
<ds:datastoreItem xmlns:ds="http://schemas.openxmlformats.org/officeDocument/2006/customXml" ds:itemID="{899AF3EA-B0FB-48E9-8B81-1A53E6687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12180</Words>
  <Characters>69429</Characters>
  <Application>Microsoft Office Word</Application>
  <DocSecurity>0</DocSecurity>
  <Lines>578</Lines>
  <Paragraphs>162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Štefanec Anita</cp:lastModifiedBy>
  <cp:revision>2</cp:revision>
  <dcterms:created xsi:type="dcterms:W3CDTF">2023-12-29T09:02:00Z</dcterms:created>
  <dcterms:modified xsi:type="dcterms:W3CDTF">2023-12-29T09:02:00Z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0x010100C93A44B0F619CA40B101162FF1F7B393</vt:lpwstr>
  </property>
</Properties>
</file>