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3B1863" w14:textId="77777777" w:rsidR="007A7E45" w:rsidRPr="00FE4B89" w:rsidRDefault="007A7E45" w:rsidP="00FE4B89"/>
    <w:p w14:paraId="5D2344D0" w14:textId="77777777" w:rsidR="004A7FF1" w:rsidRDefault="00C42291">
      <w:pPr>
        <w:pStyle w:val="Naslov2"/>
      </w:pPr>
      <w:r>
        <w:t>22505 Državni inspektorat</w:t>
      </w:r>
    </w:p>
    <w:tbl>
      <w:tblPr>
        <w:tblStyle w:val="StilTablice"/>
        <w:tblW w:w="10206" w:type="dxa"/>
        <w:jc w:val="center"/>
        <w:tblLook w:val="04A0" w:firstRow="1" w:lastRow="0" w:firstColumn="1" w:lastColumn="0" w:noHBand="0" w:noVBand="1"/>
      </w:tblPr>
      <w:tblGrid>
        <w:gridCol w:w="1426"/>
        <w:gridCol w:w="1562"/>
        <w:gridCol w:w="1562"/>
        <w:gridCol w:w="1562"/>
        <w:gridCol w:w="1562"/>
        <w:gridCol w:w="1562"/>
        <w:gridCol w:w="970"/>
      </w:tblGrid>
      <w:tr w:rsidR="004A7FF1" w14:paraId="7B7E21B0" w14:textId="77777777" w:rsidTr="00EC1CE2">
        <w:trPr>
          <w:jc w:val="center"/>
        </w:trPr>
        <w:tc>
          <w:tcPr>
            <w:tcW w:w="1426" w:type="dxa"/>
            <w:shd w:val="clear" w:color="auto" w:fill="B5C0D8"/>
          </w:tcPr>
          <w:p w14:paraId="2D13B7E8" w14:textId="77777777" w:rsidR="004A7FF1" w:rsidRDefault="004A7FF1">
            <w:pPr>
              <w:pStyle w:val="CellHeader"/>
              <w:jc w:val="center"/>
            </w:pPr>
          </w:p>
        </w:tc>
        <w:tc>
          <w:tcPr>
            <w:tcW w:w="1562" w:type="dxa"/>
            <w:shd w:val="clear" w:color="auto" w:fill="B5C0D8"/>
          </w:tcPr>
          <w:p w14:paraId="6882F8AD" w14:textId="77777777" w:rsidR="004A7FF1" w:rsidRDefault="00C42291">
            <w:pPr>
              <w:pStyle w:val="CellHeader"/>
              <w:jc w:val="center"/>
            </w:pPr>
            <w:r>
              <w:rPr>
                <w:rFonts w:cs="Times New Roman"/>
              </w:rPr>
              <w:t>Izvršenje 2022.</w:t>
            </w:r>
          </w:p>
        </w:tc>
        <w:tc>
          <w:tcPr>
            <w:tcW w:w="1562" w:type="dxa"/>
            <w:shd w:val="clear" w:color="auto" w:fill="B5C0D8"/>
          </w:tcPr>
          <w:p w14:paraId="038AE3F0" w14:textId="77777777" w:rsidR="004A7FF1" w:rsidRDefault="00C42291">
            <w:pPr>
              <w:pStyle w:val="CellHeader"/>
              <w:jc w:val="center"/>
            </w:pPr>
            <w:r>
              <w:rPr>
                <w:rFonts w:cs="Times New Roman"/>
              </w:rPr>
              <w:t>Plan 2023.</w:t>
            </w:r>
          </w:p>
        </w:tc>
        <w:tc>
          <w:tcPr>
            <w:tcW w:w="1562" w:type="dxa"/>
            <w:shd w:val="clear" w:color="auto" w:fill="B5C0D8"/>
          </w:tcPr>
          <w:p w14:paraId="02570E90" w14:textId="77777777" w:rsidR="004A7FF1" w:rsidRDefault="00C42291">
            <w:pPr>
              <w:pStyle w:val="CellHeader"/>
              <w:jc w:val="center"/>
            </w:pPr>
            <w:r>
              <w:rPr>
                <w:rFonts w:cs="Times New Roman"/>
              </w:rPr>
              <w:t>Plan 2024.</w:t>
            </w:r>
          </w:p>
        </w:tc>
        <w:tc>
          <w:tcPr>
            <w:tcW w:w="1562" w:type="dxa"/>
            <w:shd w:val="clear" w:color="auto" w:fill="B5C0D8"/>
          </w:tcPr>
          <w:p w14:paraId="60D64968" w14:textId="77777777" w:rsidR="004A7FF1" w:rsidRDefault="00C42291">
            <w:pPr>
              <w:pStyle w:val="CellHeader"/>
              <w:jc w:val="center"/>
            </w:pPr>
            <w:r>
              <w:rPr>
                <w:rFonts w:cs="Times New Roman"/>
              </w:rPr>
              <w:t>Plan 2025.</w:t>
            </w:r>
          </w:p>
        </w:tc>
        <w:tc>
          <w:tcPr>
            <w:tcW w:w="1562" w:type="dxa"/>
            <w:shd w:val="clear" w:color="auto" w:fill="B5C0D8"/>
          </w:tcPr>
          <w:p w14:paraId="17CB033D" w14:textId="77777777" w:rsidR="004A7FF1" w:rsidRDefault="00C42291">
            <w:pPr>
              <w:pStyle w:val="CellHeader"/>
              <w:jc w:val="center"/>
            </w:pPr>
            <w:r>
              <w:rPr>
                <w:rFonts w:cs="Times New Roman"/>
              </w:rPr>
              <w:t>Plan 2026.</w:t>
            </w:r>
          </w:p>
        </w:tc>
        <w:tc>
          <w:tcPr>
            <w:tcW w:w="970" w:type="dxa"/>
            <w:shd w:val="clear" w:color="auto" w:fill="B5C0D8"/>
          </w:tcPr>
          <w:p w14:paraId="6247E737" w14:textId="77777777" w:rsidR="004A7FF1" w:rsidRDefault="00C42291">
            <w:pPr>
              <w:pStyle w:val="CellHeader"/>
              <w:jc w:val="center"/>
            </w:pPr>
            <w:r>
              <w:rPr>
                <w:rFonts w:cs="Times New Roman"/>
              </w:rPr>
              <w:t>Indeks 2024/2023</w:t>
            </w:r>
          </w:p>
        </w:tc>
      </w:tr>
      <w:tr w:rsidR="004A7FF1" w14:paraId="73DD54C2" w14:textId="77777777" w:rsidTr="00EC1CE2">
        <w:trPr>
          <w:jc w:val="center"/>
        </w:trPr>
        <w:tc>
          <w:tcPr>
            <w:tcW w:w="1426" w:type="dxa"/>
          </w:tcPr>
          <w:p w14:paraId="30DF4EAE" w14:textId="77777777" w:rsidR="004A7FF1" w:rsidRDefault="00C42291">
            <w:pPr>
              <w:pStyle w:val="CellColumn"/>
              <w:jc w:val="left"/>
            </w:pPr>
            <w:r>
              <w:rPr>
                <w:rFonts w:cs="Times New Roman"/>
              </w:rPr>
              <w:t>22505</w:t>
            </w:r>
          </w:p>
        </w:tc>
        <w:tc>
          <w:tcPr>
            <w:tcW w:w="1562" w:type="dxa"/>
          </w:tcPr>
          <w:p w14:paraId="01DA38DD" w14:textId="77777777" w:rsidR="004A7FF1" w:rsidRDefault="00C42291">
            <w:pPr>
              <w:jc w:val="right"/>
            </w:pPr>
            <w:r>
              <w:t>53.528.614</w:t>
            </w:r>
          </w:p>
        </w:tc>
        <w:tc>
          <w:tcPr>
            <w:tcW w:w="1562" w:type="dxa"/>
          </w:tcPr>
          <w:p w14:paraId="2BC42CFC" w14:textId="77777777" w:rsidR="004A7FF1" w:rsidRDefault="00C42291">
            <w:pPr>
              <w:jc w:val="right"/>
            </w:pPr>
            <w:r>
              <w:t>66.431.673</w:t>
            </w:r>
          </w:p>
        </w:tc>
        <w:tc>
          <w:tcPr>
            <w:tcW w:w="1562" w:type="dxa"/>
          </w:tcPr>
          <w:p w14:paraId="1FFE89F5" w14:textId="77777777" w:rsidR="004A7FF1" w:rsidRDefault="00C42291">
            <w:pPr>
              <w:jc w:val="right"/>
            </w:pPr>
            <w:r>
              <w:t>73.086.258</w:t>
            </w:r>
          </w:p>
        </w:tc>
        <w:tc>
          <w:tcPr>
            <w:tcW w:w="1562" w:type="dxa"/>
          </w:tcPr>
          <w:p w14:paraId="02FF2E49" w14:textId="77777777" w:rsidR="004A7FF1" w:rsidRDefault="00C42291">
            <w:pPr>
              <w:jc w:val="right"/>
            </w:pPr>
            <w:r>
              <w:t>71.774.638</w:t>
            </w:r>
          </w:p>
        </w:tc>
        <w:tc>
          <w:tcPr>
            <w:tcW w:w="1562" w:type="dxa"/>
          </w:tcPr>
          <w:p w14:paraId="129F556E" w14:textId="77777777" w:rsidR="004A7FF1" w:rsidRDefault="00C42291">
            <w:pPr>
              <w:jc w:val="right"/>
            </w:pPr>
            <w:r>
              <w:t>71.990.318</w:t>
            </w:r>
          </w:p>
        </w:tc>
        <w:tc>
          <w:tcPr>
            <w:tcW w:w="970" w:type="dxa"/>
          </w:tcPr>
          <w:p w14:paraId="059D0534" w14:textId="77777777" w:rsidR="004A7FF1" w:rsidRDefault="00C42291">
            <w:pPr>
              <w:jc w:val="right"/>
            </w:pPr>
            <w:r>
              <w:t>110,0</w:t>
            </w:r>
          </w:p>
        </w:tc>
      </w:tr>
    </w:tbl>
    <w:p w14:paraId="0D099183" w14:textId="77777777" w:rsidR="00EC1CE2" w:rsidRDefault="00EC1CE2" w:rsidP="00EC1CE2">
      <w:r>
        <w:t xml:space="preserve">Državni inspektorat obavlja inspekcijske poslove u području: trgovine, usluga, zaštite potrošača, sigurnosti </w:t>
      </w:r>
    </w:p>
    <w:p w14:paraId="43200BF5" w14:textId="77777777" w:rsidR="00EC1CE2" w:rsidRDefault="00EC1CE2" w:rsidP="00EC1CE2">
      <w:r>
        <w:t xml:space="preserve">neprehrambenih proizvoda; hrane uključujući i genetski modificiranu hranu i novu hranu, genetski modificirane </w:t>
      </w:r>
    </w:p>
    <w:p w14:paraId="3F7786C7" w14:textId="77777777" w:rsidR="00EC1CE2" w:rsidRDefault="00EC1CE2" w:rsidP="00EC1CE2">
      <w:r>
        <w:t xml:space="preserve">organizme (u daljnjem tekstu: GMO), sprečavanja i suzbijanja zaraznih bolesti, proizvodnje i stavljanja na tržište </w:t>
      </w:r>
    </w:p>
    <w:p w14:paraId="677A52C9" w14:textId="77777777" w:rsidR="00EC1CE2" w:rsidRDefault="00EC1CE2" w:rsidP="00EC1CE2">
      <w:r>
        <w:t xml:space="preserve">predmeta opće uporabe, stavljanja na tržište i uporabe biocidnih proizvoda, zaštite od buke i zaštite od </w:t>
      </w:r>
    </w:p>
    <w:p w14:paraId="5AC6E8B2" w14:textId="77777777" w:rsidR="00EC1CE2" w:rsidRDefault="00EC1CE2" w:rsidP="00EC1CE2">
      <w:r>
        <w:t xml:space="preserve">neionizirajućeg zračenja, ograničavanja uporabe duhanskih i srodnih proizvoda, proizvodnje, stavljanja na tržište i </w:t>
      </w:r>
    </w:p>
    <w:p w14:paraId="1BD9E249" w14:textId="77777777" w:rsidR="00EC1CE2" w:rsidRDefault="00EC1CE2" w:rsidP="00EC1CE2">
      <w:r>
        <w:t xml:space="preserve">uporabe opasnih kemikalija te gospodarenja otrovnim kemikalijama; veterinarstva, što uključuje provedbu mjera </w:t>
      </w:r>
    </w:p>
    <w:p w14:paraId="10CADA65" w14:textId="77777777" w:rsidR="00EC1CE2" w:rsidRDefault="00EC1CE2" w:rsidP="00EC1CE2">
      <w:r>
        <w:t xml:space="preserve">zaštite zdravlje životinja, uzgoja i dobrobiti životinja, kontrolu hrane životinjskog podrijetla u proizvodnji, </w:t>
      </w:r>
    </w:p>
    <w:p w14:paraId="5129204B" w14:textId="77777777" w:rsidR="00EC1CE2" w:rsidRDefault="00EC1CE2" w:rsidP="00EC1CE2">
      <w:r>
        <w:t xml:space="preserve">skladištenju i prometu, kontrolu hrane za životinje u proizvodnji, skladištenju i prometu, proizvodnju, skladištenje, </w:t>
      </w:r>
    </w:p>
    <w:p w14:paraId="31C8C1A7" w14:textId="77777777" w:rsidR="00EC1CE2" w:rsidRDefault="00EC1CE2" w:rsidP="00EC1CE2">
      <w:r>
        <w:t xml:space="preserve">promet i primjenu VMP, kontrolu nad objektima u poslovanju s nusproizvodima, kontrolu veterinarske zaštite </w:t>
      </w:r>
    </w:p>
    <w:p w14:paraId="7DB9E66D" w14:textId="77777777" w:rsidR="00EC1CE2" w:rsidRDefault="00EC1CE2" w:rsidP="00EC1CE2">
      <w:r>
        <w:t xml:space="preserve">okoliša; poljoprivrede, lovstva, šumarstva, biljnog zdravstva, sjemena i sadnog materijala poljoprivrednog bilja, </w:t>
      </w:r>
    </w:p>
    <w:p w14:paraId="5FC9DDBB" w14:textId="77777777" w:rsidR="00EC1CE2" w:rsidRDefault="00EC1CE2" w:rsidP="00EC1CE2">
      <w:r>
        <w:t xml:space="preserve">šumskog reprodukcijskog materijala, sprječavanja unošenja i širenja stranih te invazivnih stranih vrsta i </w:t>
      </w:r>
    </w:p>
    <w:p w14:paraId="5E4C2BC5" w14:textId="77777777" w:rsidR="00EC1CE2" w:rsidRDefault="00EC1CE2" w:rsidP="00EC1CE2">
      <w:r>
        <w:t xml:space="preserve">upravljanja njima; ugostiteljske djelatnosti, pružanja ugostiteljskih usluga, pružanju usluga u turizmu, boravišne </w:t>
      </w:r>
    </w:p>
    <w:p w14:paraId="2B38006E" w14:textId="77777777" w:rsidR="00EC1CE2" w:rsidRDefault="00EC1CE2" w:rsidP="00EC1CE2">
      <w:r>
        <w:t xml:space="preserve">pristojbe; rudarstva, opreme pod tlakom, energetike (elektroenergetike, toplinarstva i plinarstva, biogoriva za </w:t>
      </w:r>
    </w:p>
    <w:p w14:paraId="1E7549F7" w14:textId="77777777" w:rsidR="00EC1CE2" w:rsidRDefault="00EC1CE2" w:rsidP="00EC1CE2">
      <w:r>
        <w:t xml:space="preserve">prijevoz, energetske učinkovitosti, ugljikovodika i geotermalnih voda za energetske svrhe, skladištenja prirodnog </w:t>
      </w:r>
    </w:p>
    <w:p w14:paraId="14A33F95" w14:textId="77777777" w:rsidR="00EC1CE2" w:rsidRDefault="00EC1CE2" w:rsidP="00EC1CE2">
      <w:r>
        <w:t xml:space="preserve">plina i trajnog zbrinjavanja ugljikova dioksida); rada i zaštite na radu; građenja i uporabe građevina te provedbe </w:t>
      </w:r>
    </w:p>
    <w:p w14:paraId="55CAE91B" w14:textId="77777777" w:rsidR="00EC1CE2" w:rsidRDefault="00EC1CE2" w:rsidP="00EC1CE2">
      <w:r>
        <w:t xml:space="preserve">stručnog nadzora građenja, za koje je potreban akt za građenje, osim inspekcijskog nadzora građevina državnog </w:t>
      </w:r>
    </w:p>
    <w:p w14:paraId="645D9091" w14:textId="77777777" w:rsidR="00EC1CE2" w:rsidRDefault="00EC1CE2" w:rsidP="00EC1CE2">
      <w:r>
        <w:t xml:space="preserve">značaja, građevina čije građenje nadziru druge inspekcije, upravna tijela jedinica lokalne i područne (regionalne) </w:t>
      </w:r>
    </w:p>
    <w:p w14:paraId="747FE9C2" w14:textId="77777777" w:rsidR="00EC1CE2" w:rsidRDefault="00EC1CE2" w:rsidP="00EC1CE2">
      <w:r>
        <w:t xml:space="preserve">samouprave te nadzorne službe javnih ustanova; zaštite okoliša, održivog gospodarenja otpadom, zaštite zraka, </w:t>
      </w:r>
    </w:p>
    <w:p w14:paraId="6A37A492" w14:textId="77777777" w:rsidR="00EC1CE2" w:rsidRDefault="00EC1CE2" w:rsidP="00EC1CE2">
      <w:r>
        <w:t xml:space="preserve">zaštite od svjetlosnog onečišćenja, zaštite prirode, vodnog gospodarstva i vode za ljudsku potrošnju. Državni </w:t>
      </w:r>
    </w:p>
    <w:p w14:paraId="73B160DC" w14:textId="77777777" w:rsidR="00EC1CE2" w:rsidRDefault="00EC1CE2" w:rsidP="00EC1CE2">
      <w:r>
        <w:t>inspektorat obavlja inspekcijske poslove i u drugim upravnim područjima kada je to određeno posebnim zakonom.</w:t>
      </w:r>
    </w:p>
    <w:p w14:paraId="76DDC05E" w14:textId="77777777" w:rsidR="004A7FF1" w:rsidRDefault="004A7FF1">
      <w:pPr>
        <w:jc w:val="left"/>
      </w:pPr>
    </w:p>
    <w:p w14:paraId="3429DE72" w14:textId="77777777" w:rsidR="004A7FF1" w:rsidRDefault="00C42291">
      <w:pPr>
        <w:pStyle w:val="Naslov3"/>
      </w:pPr>
      <w:r>
        <w:rPr>
          <w:rFonts w:cs="Times New Roman"/>
        </w:rPr>
        <w:t>3213 INSPEKCIJSKI NADZOR</w:t>
      </w:r>
    </w:p>
    <w:tbl>
      <w:tblPr>
        <w:tblStyle w:val="StilTablice"/>
        <w:tblW w:w="10206" w:type="dxa"/>
        <w:jc w:val="center"/>
        <w:tblLook w:val="04A0" w:firstRow="1" w:lastRow="0" w:firstColumn="1" w:lastColumn="0" w:noHBand="0" w:noVBand="1"/>
      </w:tblPr>
      <w:tblGrid>
        <w:gridCol w:w="1417"/>
        <w:gridCol w:w="1563"/>
        <w:gridCol w:w="1564"/>
        <w:gridCol w:w="1564"/>
        <w:gridCol w:w="1564"/>
        <w:gridCol w:w="1564"/>
        <w:gridCol w:w="970"/>
      </w:tblGrid>
      <w:tr w:rsidR="004A7FF1" w14:paraId="06C6E1DC" w14:textId="77777777">
        <w:trPr>
          <w:jc w:val="center"/>
        </w:trPr>
        <w:tc>
          <w:tcPr>
            <w:tcW w:w="1530" w:type="dxa"/>
            <w:shd w:val="clear" w:color="auto" w:fill="B5C0D8"/>
          </w:tcPr>
          <w:p w14:paraId="45477E7A" w14:textId="77777777" w:rsidR="004A7FF1" w:rsidRDefault="004A7FF1">
            <w:pPr>
              <w:pStyle w:val="CellHeader"/>
              <w:jc w:val="center"/>
            </w:pPr>
          </w:p>
        </w:tc>
        <w:tc>
          <w:tcPr>
            <w:tcW w:w="1632" w:type="dxa"/>
            <w:shd w:val="clear" w:color="auto" w:fill="B5C0D8"/>
          </w:tcPr>
          <w:p w14:paraId="62CBD799" w14:textId="77777777" w:rsidR="004A7FF1" w:rsidRDefault="00C42291">
            <w:pPr>
              <w:pStyle w:val="CellHeader"/>
              <w:jc w:val="center"/>
            </w:pPr>
            <w:r>
              <w:rPr>
                <w:rFonts w:cs="Times New Roman"/>
              </w:rPr>
              <w:t>Izvršenje 2022.</w:t>
            </w:r>
          </w:p>
        </w:tc>
        <w:tc>
          <w:tcPr>
            <w:tcW w:w="1632" w:type="dxa"/>
            <w:shd w:val="clear" w:color="auto" w:fill="B5C0D8"/>
          </w:tcPr>
          <w:p w14:paraId="411AFB26" w14:textId="77777777" w:rsidR="004A7FF1" w:rsidRDefault="00C42291">
            <w:pPr>
              <w:pStyle w:val="CellHeader"/>
              <w:jc w:val="center"/>
            </w:pPr>
            <w:r>
              <w:rPr>
                <w:rFonts w:cs="Times New Roman"/>
              </w:rPr>
              <w:t>Plan 2023.</w:t>
            </w:r>
          </w:p>
        </w:tc>
        <w:tc>
          <w:tcPr>
            <w:tcW w:w="1632" w:type="dxa"/>
            <w:shd w:val="clear" w:color="auto" w:fill="B5C0D8"/>
          </w:tcPr>
          <w:p w14:paraId="4321B03B" w14:textId="77777777" w:rsidR="004A7FF1" w:rsidRDefault="00C42291">
            <w:pPr>
              <w:pStyle w:val="CellHeader"/>
              <w:jc w:val="center"/>
            </w:pPr>
            <w:r>
              <w:rPr>
                <w:rFonts w:cs="Times New Roman"/>
              </w:rPr>
              <w:t>Plan 2024.</w:t>
            </w:r>
          </w:p>
        </w:tc>
        <w:tc>
          <w:tcPr>
            <w:tcW w:w="1632" w:type="dxa"/>
            <w:shd w:val="clear" w:color="auto" w:fill="B5C0D8"/>
          </w:tcPr>
          <w:p w14:paraId="7E728F96" w14:textId="77777777" w:rsidR="004A7FF1" w:rsidRDefault="00C42291">
            <w:pPr>
              <w:pStyle w:val="CellHeader"/>
              <w:jc w:val="center"/>
            </w:pPr>
            <w:r>
              <w:rPr>
                <w:rFonts w:cs="Times New Roman"/>
              </w:rPr>
              <w:t>Plan 2025.</w:t>
            </w:r>
          </w:p>
        </w:tc>
        <w:tc>
          <w:tcPr>
            <w:tcW w:w="1632" w:type="dxa"/>
            <w:shd w:val="clear" w:color="auto" w:fill="B5C0D8"/>
          </w:tcPr>
          <w:p w14:paraId="0BFB6AA0" w14:textId="77777777" w:rsidR="004A7FF1" w:rsidRDefault="00C42291">
            <w:pPr>
              <w:pStyle w:val="CellHeader"/>
              <w:jc w:val="center"/>
            </w:pPr>
            <w:r>
              <w:rPr>
                <w:rFonts w:cs="Times New Roman"/>
              </w:rPr>
              <w:t>Plan 2026.</w:t>
            </w:r>
          </w:p>
        </w:tc>
        <w:tc>
          <w:tcPr>
            <w:tcW w:w="510" w:type="dxa"/>
            <w:shd w:val="clear" w:color="auto" w:fill="B5C0D8"/>
          </w:tcPr>
          <w:p w14:paraId="47363CCA" w14:textId="77777777" w:rsidR="004A7FF1" w:rsidRDefault="00C42291">
            <w:pPr>
              <w:pStyle w:val="CellHeader"/>
              <w:jc w:val="center"/>
            </w:pPr>
            <w:r>
              <w:rPr>
                <w:rFonts w:cs="Times New Roman"/>
              </w:rPr>
              <w:t>Indeks 2024/2023</w:t>
            </w:r>
          </w:p>
        </w:tc>
      </w:tr>
      <w:tr w:rsidR="004A7FF1" w14:paraId="5011969E" w14:textId="77777777">
        <w:trPr>
          <w:jc w:val="center"/>
        </w:trPr>
        <w:tc>
          <w:tcPr>
            <w:tcW w:w="1530" w:type="dxa"/>
          </w:tcPr>
          <w:p w14:paraId="16D36B8C" w14:textId="77777777" w:rsidR="004A7FF1" w:rsidRDefault="00C42291">
            <w:pPr>
              <w:pStyle w:val="CellColumn"/>
              <w:jc w:val="left"/>
            </w:pPr>
            <w:r>
              <w:rPr>
                <w:rFonts w:cs="Times New Roman"/>
              </w:rPr>
              <w:t>3213</w:t>
            </w:r>
          </w:p>
        </w:tc>
        <w:tc>
          <w:tcPr>
            <w:tcW w:w="1632" w:type="dxa"/>
          </w:tcPr>
          <w:p w14:paraId="47D19D4B" w14:textId="77777777" w:rsidR="004A7FF1" w:rsidRDefault="00C42291">
            <w:pPr>
              <w:jc w:val="right"/>
            </w:pPr>
            <w:r>
              <w:t>53.528.614</w:t>
            </w:r>
          </w:p>
        </w:tc>
        <w:tc>
          <w:tcPr>
            <w:tcW w:w="1632" w:type="dxa"/>
          </w:tcPr>
          <w:p w14:paraId="4F8C325E" w14:textId="77777777" w:rsidR="004A7FF1" w:rsidRDefault="00C42291">
            <w:pPr>
              <w:jc w:val="right"/>
            </w:pPr>
            <w:r>
              <w:t>66.431.673</w:t>
            </w:r>
          </w:p>
        </w:tc>
        <w:tc>
          <w:tcPr>
            <w:tcW w:w="1632" w:type="dxa"/>
          </w:tcPr>
          <w:p w14:paraId="50751E1C" w14:textId="77777777" w:rsidR="004A7FF1" w:rsidRDefault="00C42291">
            <w:pPr>
              <w:jc w:val="right"/>
            </w:pPr>
            <w:r>
              <w:t>73.086.258</w:t>
            </w:r>
          </w:p>
        </w:tc>
        <w:tc>
          <w:tcPr>
            <w:tcW w:w="1632" w:type="dxa"/>
          </w:tcPr>
          <w:p w14:paraId="3810E978" w14:textId="77777777" w:rsidR="004A7FF1" w:rsidRDefault="00C42291">
            <w:pPr>
              <w:jc w:val="right"/>
            </w:pPr>
            <w:r>
              <w:t>71.774.638</w:t>
            </w:r>
          </w:p>
        </w:tc>
        <w:tc>
          <w:tcPr>
            <w:tcW w:w="1632" w:type="dxa"/>
          </w:tcPr>
          <w:p w14:paraId="7BD97D80" w14:textId="77777777" w:rsidR="004A7FF1" w:rsidRDefault="00C42291">
            <w:pPr>
              <w:jc w:val="right"/>
            </w:pPr>
            <w:r>
              <w:t>71.990.318</w:t>
            </w:r>
          </w:p>
        </w:tc>
        <w:tc>
          <w:tcPr>
            <w:tcW w:w="510" w:type="dxa"/>
          </w:tcPr>
          <w:p w14:paraId="61B0A0B1" w14:textId="77777777" w:rsidR="004A7FF1" w:rsidRDefault="00C42291">
            <w:pPr>
              <w:jc w:val="right"/>
            </w:pPr>
            <w:r>
              <w:t>110,0</w:t>
            </w:r>
          </w:p>
        </w:tc>
      </w:tr>
    </w:tbl>
    <w:p w14:paraId="4DCC0FF4" w14:textId="77777777" w:rsidR="004A7FF1" w:rsidRDefault="004A7FF1">
      <w:pPr>
        <w:jc w:val="left"/>
      </w:pPr>
    </w:p>
    <w:p w14:paraId="288CD457" w14:textId="77777777" w:rsidR="004A7FF1" w:rsidRDefault="00C42291">
      <w:pPr>
        <w:pStyle w:val="Naslov4"/>
      </w:pPr>
      <w:r>
        <w:t>A673013 PROJEKT PROSAFE</w:t>
      </w:r>
    </w:p>
    <w:p w14:paraId="3DBAD922" w14:textId="77777777" w:rsidR="004A7FF1" w:rsidRDefault="00C42291">
      <w:pPr>
        <w:pStyle w:val="Naslov8"/>
        <w:jc w:val="left"/>
      </w:pPr>
      <w:r>
        <w:t>Zakonske i druge pravne osnove</w:t>
      </w:r>
    </w:p>
    <w:p w14:paraId="4428CACA" w14:textId="77777777" w:rsidR="004A7FF1" w:rsidRDefault="00C42291">
      <w:r>
        <w:t xml:space="preserve">- Zakon o tehničkim zahtjevima za proizvode i ocjenjivanju sukladnosti  </w:t>
      </w:r>
    </w:p>
    <w:p w14:paraId="6BF86E43" w14:textId="77777777" w:rsidR="004A7FF1" w:rsidRDefault="00C42291">
      <w:r>
        <w:t xml:space="preserve">- Uredba (EU)  2019/1020 o nadzoru tržišta i sukladnosti proizvoda </w:t>
      </w:r>
    </w:p>
    <w:p w14:paraId="34AAFA19" w14:textId="77777777" w:rsidR="004A7FF1" w:rsidRDefault="00C42291">
      <w:r>
        <w:t xml:space="preserve">- Zakon o energetskoj učinkovitosti  </w:t>
      </w:r>
    </w:p>
    <w:p w14:paraId="1E49715E" w14:textId="77777777" w:rsidR="004A7FF1" w:rsidRDefault="00C42291">
      <w:r>
        <w:t xml:space="preserve">- Uredba 2017/1369 o utvrđivanju okvira za označivanje energetske učinkovitosti i o stavljanju izvan snage Direktive 2010/30/EU </w:t>
      </w:r>
    </w:p>
    <w:p w14:paraId="028EE64A" w14:textId="77777777" w:rsidR="004A7FF1" w:rsidRDefault="00C42291">
      <w:r>
        <w:t xml:space="preserve">- Direktiva 2006/42/EZ o strojevima </w:t>
      </w:r>
    </w:p>
    <w:p w14:paraId="3F254EC5" w14:textId="77777777" w:rsidR="004A7FF1" w:rsidRDefault="00C42291">
      <w:r>
        <w:lastRenderedPageBreak/>
        <w:t xml:space="preserve">- Grant Agreement  No. 832558 (projekt EEPLIANT3) </w:t>
      </w:r>
    </w:p>
    <w:p w14:paraId="154BA3A7" w14:textId="77777777" w:rsidR="004A7FF1" w:rsidRDefault="00C42291">
      <w:r>
        <w:t xml:space="preserve">- Declaration of honour (Ref: Support to joint enforcement actions SMP-IMA-2021-JA2731-12302, JAHARP2021 Omnibus) (Agreement JA2021-07 Circular saws, Agreement JA2021-02 TV Monitors) </w:t>
      </w:r>
    </w:p>
    <w:p w14:paraId="11D1FE1C" w14:textId="77777777" w:rsidR="004A7FF1" w:rsidRDefault="00C42291">
      <w:r>
        <w:t>- Accesion form (JAHARP2022-I-Energy labelling-SMP-IMA-2021-2-JA-2731-12302; JAHARP2022-E-charging and Chainsaws-SMP-IMA-2021-2-JA-2731-12302)</w:t>
      </w:r>
    </w:p>
    <w:tbl>
      <w:tblPr>
        <w:tblStyle w:val="StilTablice"/>
        <w:tblW w:w="10206" w:type="dxa"/>
        <w:jc w:val="center"/>
        <w:tblLook w:val="04A0" w:firstRow="1" w:lastRow="0" w:firstColumn="1" w:lastColumn="0" w:noHBand="0" w:noVBand="1"/>
      </w:tblPr>
      <w:tblGrid>
        <w:gridCol w:w="1480"/>
        <w:gridCol w:w="1568"/>
        <w:gridCol w:w="1545"/>
        <w:gridCol w:w="1553"/>
        <w:gridCol w:w="1545"/>
        <w:gridCol w:w="1545"/>
        <w:gridCol w:w="970"/>
      </w:tblGrid>
      <w:tr w:rsidR="004A7FF1" w14:paraId="181C174B" w14:textId="77777777">
        <w:trPr>
          <w:jc w:val="center"/>
        </w:trPr>
        <w:tc>
          <w:tcPr>
            <w:tcW w:w="1530" w:type="dxa"/>
            <w:shd w:val="clear" w:color="auto" w:fill="B5C0D8"/>
          </w:tcPr>
          <w:p w14:paraId="400E33BD" w14:textId="77777777" w:rsidR="004A7FF1" w:rsidRDefault="00C42291">
            <w:pPr>
              <w:pStyle w:val="CellHeader"/>
              <w:jc w:val="center"/>
            </w:pPr>
            <w:r>
              <w:rPr>
                <w:rFonts w:cs="Times New Roman"/>
              </w:rPr>
              <w:t>Naziv aktivnosti</w:t>
            </w:r>
          </w:p>
        </w:tc>
        <w:tc>
          <w:tcPr>
            <w:tcW w:w="1632" w:type="dxa"/>
            <w:shd w:val="clear" w:color="auto" w:fill="B5C0D8"/>
          </w:tcPr>
          <w:p w14:paraId="7BE3C302" w14:textId="77777777" w:rsidR="004A7FF1" w:rsidRDefault="00C42291">
            <w:pPr>
              <w:pStyle w:val="CellHeader"/>
              <w:jc w:val="center"/>
            </w:pPr>
            <w:r>
              <w:rPr>
                <w:rFonts w:cs="Times New Roman"/>
              </w:rPr>
              <w:t>Izvršenje 2022.</w:t>
            </w:r>
          </w:p>
        </w:tc>
        <w:tc>
          <w:tcPr>
            <w:tcW w:w="1632" w:type="dxa"/>
            <w:shd w:val="clear" w:color="auto" w:fill="B5C0D8"/>
          </w:tcPr>
          <w:p w14:paraId="6BBD0C66" w14:textId="77777777" w:rsidR="004A7FF1" w:rsidRDefault="00C42291">
            <w:pPr>
              <w:pStyle w:val="CellHeader"/>
              <w:jc w:val="center"/>
            </w:pPr>
            <w:r>
              <w:rPr>
                <w:rFonts w:cs="Times New Roman"/>
              </w:rPr>
              <w:t>Plan 2023.</w:t>
            </w:r>
          </w:p>
        </w:tc>
        <w:tc>
          <w:tcPr>
            <w:tcW w:w="1632" w:type="dxa"/>
            <w:shd w:val="clear" w:color="auto" w:fill="B5C0D8"/>
          </w:tcPr>
          <w:p w14:paraId="4E919BD1" w14:textId="77777777" w:rsidR="004A7FF1" w:rsidRDefault="00C42291">
            <w:pPr>
              <w:pStyle w:val="CellHeader"/>
              <w:jc w:val="center"/>
            </w:pPr>
            <w:r>
              <w:rPr>
                <w:rFonts w:cs="Times New Roman"/>
              </w:rPr>
              <w:t>Plan 2024.</w:t>
            </w:r>
          </w:p>
        </w:tc>
        <w:tc>
          <w:tcPr>
            <w:tcW w:w="1632" w:type="dxa"/>
            <w:shd w:val="clear" w:color="auto" w:fill="B5C0D8"/>
          </w:tcPr>
          <w:p w14:paraId="43137705" w14:textId="77777777" w:rsidR="004A7FF1" w:rsidRDefault="00C42291">
            <w:pPr>
              <w:pStyle w:val="CellHeader"/>
              <w:jc w:val="center"/>
            </w:pPr>
            <w:r>
              <w:rPr>
                <w:rFonts w:cs="Times New Roman"/>
              </w:rPr>
              <w:t>Plan 2025.</w:t>
            </w:r>
          </w:p>
        </w:tc>
        <w:tc>
          <w:tcPr>
            <w:tcW w:w="1632" w:type="dxa"/>
            <w:shd w:val="clear" w:color="auto" w:fill="B5C0D8"/>
          </w:tcPr>
          <w:p w14:paraId="5CC9C957" w14:textId="77777777" w:rsidR="004A7FF1" w:rsidRDefault="00C42291">
            <w:pPr>
              <w:pStyle w:val="CellHeader"/>
              <w:jc w:val="center"/>
            </w:pPr>
            <w:r>
              <w:rPr>
                <w:rFonts w:cs="Times New Roman"/>
              </w:rPr>
              <w:t>Plan 2026.</w:t>
            </w:r>
          </w:p>
        </w:tc>
        <w:tc>
          <w:tcPr>
            <w:tcW w:w="510" w:type="dxa"/>
            <w:shd w:val="clear" w:color="auto" w:fill="B5C0D8"/>
          </w:tcPr>
          <w:p w14:paraId="443DF63B" w14:textId="77777777" w:rsidR="004A7FF1" w:rsidRDefault="00C42291">
            <w:pPr>
              <w:pStyle w:val="CellHeader"/>
              <w:jc w:val="center"/>
            </w:pPr>
            <w:r>
              <w:rPr>
                <w:rFonts w:cs="Times New Roman"/>
              </w:rPr>
              <w:t>Indeks 2024/2023</w:t>
            </w:r>
          </w:p>
        </w:tc>
      </w:tr>
      <w:tr w:rsidR="004A7FF1" w14:paraId="319C8643" w14:textId="77777777">
        <w:trPr>
          <w:jc w:val="center"/>
        </w:trPr>
        <w:tc>
          <w:tcPr>
            <w:tcW w:w="1530" w:type="dxa"/>
            <w:vAlign w:val="top"/>
          </w:tcPr>
          <w:p w14:paraId="08B65444" w14:textId="77777777" w:rsidR="004A7FF1" w:rsidRDefault="00C42291">
            <w:pPr>
              <w:pStyle w:val="CellColumn"/>
              <w:jc w:val="left"/>
            </w:pPr>
            <w:r>
              <w:rPr>
                <w:rFonts w:cs="Times New Roman"/>
              </w:rPr>
              <w:t>A673013</w:t>
            </w:r>
          </w:p>
        </w:tc>
        <w:tc>
          <w:tcPr>
            <w:tcW w:w="1632" w:type="dxa"/>
            <w:vAlign w:val="top"/>
          </w:tcPr>
          <w:p w14:paraId="55CB7B22" w14:textId="77777777" w:rsidR="004A7FF1" w:rsidRDefault="00C42291">
            <w:pPr>
              <w:jc w:val="right"/>
            </w:pPr>
            <w:r>
              <w:t>3.108</w:t>
            </w:r>
          </w:p>
        </w:tc>
        <w:tc>
          <w:tcPr>
            <w:tcW w:w="1632" w:type="dxa"/>
            <w:vAlign w:val="top"/>
          </w:tcPr>
          <w:p w14:paraId="7A3FBDA9" w14:textId="77777777" w:rsidR="004A7FF1" w:rsidRDefault="00C42291">
            <w:pPr>
              <w:jc w:val="right"/>
            </w:pPr>
            <w:r>
              <w:t>9.954</w:t>
            </w:r>
          </w:p>
        </w:tc>
        <w:tc>
          <w:tcPr>
            <w:tcW w:w="1632" w:type="dxa"/>
            <w:vAlign w:val="top"/>
          </w:tcPr>
          <w:p w14:paraId="7A5BF553" w14:textId="77777777" w:rsidR="004A7FF1" w:rsidRDefault="00C42291">
            <w:pPr>
              <w:jc w:val="right"/>
            </w:pPr>
            <w:r>
              <w:t>48.603</w:t>
            </w:r>
          </w:p>
        </w:tc>
        <w:tc>
          <w:tcPr>
            <w:tcW w:w="1632" w:type="dxa"/>
            <w:vAlign w:val="top"/>
          </w:tcPr>
          <w:p w14:paraId="34DF77F3" w14:textId="77777777" w:rsidR="004A7FF1" w:rsidRDefault="00C42291">
            <w:pPr>
              <w:jc w:val="right"/>
            </w:pPr>
            <w:r>
              <w:t>9.954</w:t>
            </w:r>
          </w:p>
        </w:tc>
        <w:tc>
          <w:tcPr>
            <w:tcW w:w="1632" w:type="dxa"/>
            <w:vAlign w:val="top"/>
          </w:tcPr>
          <w:p w14:paraId="7C09766C" w14:textId="77777777" w:rsidR="004A7FF1" w:rsidRDefault="00C42291">
            <w:pPr>
              <w:jc w:val="right"/>
            </w:pPr>
            <w:r>
              <w:t>9.954</w:t>
            </w:r>
          </w:p>
        </w:tc>
        <w:tc>
          <w:tcPr>
            <w:tcW w:w="510" w:type="dxa"/>
            <w:vAlign w:val="top"/>
          </w:tcPr>
          <w:p w14:paraId="12110293" w14:textId="77777777" w:rsidR="004A7FF1" w:rsidRDefault="00C42291">
            <w:pPr>
              <w:jc w:val="right"/>
            </w:pPr>
            <w:r>
              <w:t>488,3</w:t>
            </w:r>
          </w:p>
        </w:tc>
      </w:tr>
    </w:tbl>
    <w:p w14:paraId="5CD78F68" w14:textId="77777777" w:rsidR="004A7FF1" w:rsidRDefault="004A7FF1">
      <w:pPr>
        <w:jc w:val="left"/>
      </w:pPr>
    </w:p>
    <w:p w14:paraId="54A5652B" w14:textId="77777777" w:rsidR="004A7FF1" w:rsidRDefault="00C42291">
      <w:r>
        <w:t xml:space="preserve">Tržišna inspekcija uključena je u projekte financirane od strane Europske unije, a koje koordinira  PROSAFE organizacija (neprofitna organizacija koja koordinira zajedničkim aktivnostima država članica u nadzoru tržišta, a primarno je financirana od strane Europske unije) usmjerene na provedbu zajedničkih aktivnosti nadzora tržišta država članica u  području sigurnosti neprehrambenih proizvoda:  </w:t>
      </w:r>
    </w:p>
    <w:p w14:paraId="6826FB09" w14:textId="77777777" w:rsidR="004A7FF1" w:rsidRDefault="00C42291">
      <w:r>
        <w:t xml:space="preserve"> </w:t>
      </w:r>
    </w:p>
    <w:p w14:paraId="3A796EFF" w14:textId="77777777" w:rsidR="004A7FF1" w:rsidRDefault="00C42291">
      <w:r>
        <w:t xml:space="preserve">1) EEPLIANT3 ( Energy Efficiancy  Compliant Products – Energetski učinkoviti sukladni proizvodi)  </w:t>
      </w:r>
    </w:p>
    <w:p w14:paraId="5FA40799" w14:textId="77777777" w:rsidR="004A7FF1" w:rsidRDefault="00C42291">
      <w:r>
        <w:t xml:space="preserve">Tržišna inspekcija uključena je u projekt EEPLIANT3, vezano uz provedbu zajedničkih aktivnosti država članica nadzora tržišta u području energetske učinkovitosti i eko-dizajna proizvoda povezanih s energijom, usmjerenom na ispunjavanje ciljeva programa Europske unije HORIZON 2020 – Radni program 2018-2020 Sigurna, čista i učinkovita energija, a koji je započeo u lipnju 2019. i čiji je završetak inicijalno predviđen u svibnju 2023. godine, međutim isti je prolongiran u dijelu određenih aktivnosti uslijed neprovođenja aktivnosti tijekom pandemije COVID-19. Ukupna vrijednost projekta je 6 851 479,85 eura te je isti u cijelosti financiran od Europske unije, a u njemu sudjeluje 20 država članica i Turska, a koordiniran je od strane neprofitne organizacije Prosafe, koja je zadužena i za administraciju projekta. Svaki pojedini korisnik projekta participira kroz radne sate uložene u aktivnosti koje se provode kroz projekt, a predviđeno je dodjeljivanje sredstava  u iznosu 51.977,61 eura, za radne sate odrađene kroz 11,6 mjeseci (od ukupno 48 mjeseci trajanja projekta) uz sudjelovanje na 22 radna sastanka u organizaciji koordinatora vezano uz aktivnosti iz projekta. Tržišna inspekcija sudjeluje u aktivnostima u okviru dva radna paketa usmjerenim na specifične grupe proizvoda WP7 Air conditioners and comfort fans, vezano uz klimatizacijske uređaje i ventilatore te WP11 Lighting products, vezano uz rasvjetna tijela, a cilj provedbe aktivnosti usmjeren je na identificiranje nesukladnih proizvoda na tržištu kroz inspekcijske nadzore provjera označavanja energetske učinkovitosti i dokumentacije  uz uzorkovanje proizvoda u svrhu ispitivanja njihove sukladnosti kako bi se na tržištu osigurala prisutnost energetski učinkovitih proizvoda. Uz to tržišna inspekcija sudjeluje i u horizontalnim aktivnostima radnog paketa WP5 Concerted training actions and exchange, čiji je cilj usmjeren na edukacije i usvajanja najboljih praksi iz područja nadzora tržišta proizvoda povezanih s energijom u svrhu ujednačene primjene zakonodavstva u području energetske učinkovitosti i ekodizajna proizvoda i jačanja učinkovitosti inspekcijskih nadzora u istom području.  </w:t>
      </w:r>
    </w:p>
    <w:p w14:paraId="32C4660E" w14:textId="77777777" w:rsidR="004A7FF1" w:rsidRDefault="00C42291">
      <w:r>
        <w:t xml:space="preserve"> </w:t>
      </w:r>
    </w:p>
    <w:p w14:paraId="338BE906" w14:textId="77777777" w:rsidR="004A7FF1" w:rsidRDefault="00C42291">
      <w:r>
        <w:t xml:space="preserve">2) JAHARP2021 Omnibus </w:t>
      </w:r>
    </w:p>
    <w:p w14:paraId="19775F07" w14:textId="77777777" w:rsidR="004A7FF1" w:rsidRDefault="00C42291">
      <w:r>
        <w:t xml:space="preserve">Tržišna inspekcija uključena je u projekt Joint Market Surveillance Action on HARmonised Products 2021 Omnibus, JAHARP2021 Omnibus,  koji se sastoji od sedam sektorskih područja te tri horizontalne aktivnosti, a koji je usmjeren na zajedničke aktivnosti država članica u pogledu nadzora tržišta. U projektu sudjeluje 45 tijela za nadzor tržišta iz 25 država članica. Ukupna vrijednost projekta je 1 257 000 eura te je isti sufinanciran od Europske unije, a koordiniran je od strane neprofitne organizacije Prosafe, koja je zadužena i za administraciju projekta te svaki pojedini korisnik projekta, sudjeluje kroz radne sate uložene u aktivnosti koje se provode kroz projekt. Pri tome tržišna inspekcija uključena je u dvije aktivnosti kroz dva različita sektorska područja i to: JA2021-02-TV Monitors koji se odnosi na aspekte zahtjeva energetske učinkovitosti i ekološkog dizajna elektroničkih zaslona te JA2021-07-Saws koji se odnosi na područje strojeva, konkretno zahtjeve za sukladnost kružnih pila. Cilj provedbe navedenih aktivnosti usmjeren je na identificiranje nesukladnih proizvoda s tržišta kroz provedbu nadzora te uzorkovanje i ispitivanje uzetih uzoraka proizvoda dok je drugi cilj usmjeren na potporu u primjeni i provedbi Uredbe (EU) 2019/1020 o nadzoru tržišta i sukladnosti proizvoda. Kako su aktivnosti kroz projekt započele tek u drugoj polovici 2022. predviđa se završetak projekta u 2024. godini, kroz aktivnosti nadzora tržišta te održavanje sastanaka (online ili fizičkim prisustvom u organizaciji koordinatora). </w:t>
      </w:r>
    </w:p>
    <w:p w14:paraId="13854CD6" w14:textId="77777777" w:rsidR="004A7FF1" w:rsidRDefault="00C42291">
      <w:r>
        <w:t xml:space="preserve"> </w:t>
      </w:r>
    </w:p>
    <w:p w14:paraId="7BE1778B" w14:textId="77777777" w:rsidR="004A7FF1" w:rsidRDefault="00C42291">
      <w:r>
        <w:lastRenderedPageBreak/>
        <w:t xml:space="preserve">3) JAHARP2022  </w:t>
      </w:r>
    </w:p>
    <w:p w14:paraId="13B40C7B" w14:textId="77777777" w:rsidR="004A7FF1" w:rsidRDefault="00C42291">
      <w:r>
        <w:t xml:space="preserve">Tržišna inspekcija uključila se u projekt Joint Market Surveillance Action on HARmonised Products 2022 (JAHARP2022) koji se sastoji od sedam koordiniranih aktivnosti nadzora tržišta vezanih uz sukladnost proizvoda i dvije horizontalne aktivnosti. U projektu sudjeluje ukupno 25 tijela za nadzor tržišta iz 16 država članica te je isti sufinanciran od Europske unije, a koordiniran je od strane neprofitne organizacije Prosafe, koja je zadužena i za administraciju projekta te svaki pojedini korisnik projekta, sudjeluje kroz radne sate uložene u aktivnosti koje se provode kroz projekt. Samo trajanje projekta predviđeno je kroz razdoblje od dvije godine, a završetak projekta se predviđa krajem 2025. godine. Pri tome tržišna inspekcija uključena je u dvije aktivnosti kroz dva različita sektorska područja i to u dijelu energetske učinkovitosti te sigurnosti strojeva. Stoga je projekt JAHARP2022 - I –Washing Machines (perilice rublja) usmjeren na aspekte zahtjeva energetske učinkovitosti i ekološkog dizajna perilica rublja, identifikaciju nesukladnih proizvoda na jedinstvenom tržištu kroz provedbu nadzora i provjeru dokumentacije i ispitivanja proizvoda te njihovo uklanjanje s tržišta, sve u cilju pozitivnih učinaka u pogledu postizanja viših razina sukladnosti i energetske učinkovitosti proizvoda na tržištu te bolje provedbe EU zakonodavstva u navedenim područjima. Isto tako, u dijelu projekta, odnosno aktivnosti JAHARP2022 - III - Chain saws (lančane pile) koja se odnosi na područje EU zakonodavstva vezano uz sigurnost strojeva, cilj je usmjeren na osiguravanje da se nesukladni proizvodi uklone s jedinstvenog tržišta kroz provjere dokumentacije te također ispitivanja proizvoda uzetih s tržišta čime se ujedno nastoji doprinijeti jačanju provedbe zahtjeva EU zakonodavstva u navedenom području te usvajanje najboljih praksi. </w:t>
      </w:r>
    </w:p>
    <w:p w14:paraId="7D4F7D42" w14:textId="77777777" w:rsidR="004A7FF1" w:rsidRDefault="00C42291">
      <w:r>
        <w:t xml:space="preserve"> </w:t>
      </w:r>
    </w:p>
    <w:p w14:paraId="6D853E1E" w14:textId="77777777" w:rsidR="004A7FF1" w:rsidRDefault="00C42291">
      <w:r>
        <w:t xml:space="preserve">Na ovoj aktivnosti planiraju se sredstva za troškove službenih putovanja i dnevnica na sastanke u okviru projekta. Pri tome se od ukupnih sredstava 10% planira za troškove službenih putovanja i dnevnica na sastanke koje će organizirati koordinator u okviru projekta EEPLIANT3 u svrhu evaluacije rezultata ispitivanja, procjene rizika za nesukladne proizvode, imajući u vidu da je završetak projekta prolongiran i tijekom 2024. godine, a inicijalno je trebao završiti u 2023. godini. Također, u odnosu na projekt JAHARP2021 Omnibus predviđa se 20% sredstava za troškove putovanja i dnevnice za  predviđene sastanke koje u okviru dviju aktivnosti, organizira koordinator projekta, imajući u vidu da je tržišna inspekcija uključena u dvije aktivnosti iz okvira projekte  koje uključuju brojne aktivnosti posjete laboratorijima koji provode ispitivanja uzorkovanih proizvoda, evaluacije rezultata i procjene rizika nesukladnih proizvoda. S obzirom na projekt JAHARP2022, obzirom da je isti tek aktivno započeo u posljednjem kvartalu 2023. godine kroz dvogodišnje razdoblje trajanja projekta planira se 20% sredstva za troškove službenih putovanja i dnevnica na sastanke iz radnih paketa u koje je uključena tržišna inspekcija, a predviđenih prema planu koordinatora vezano uz planiranje aktivnosti iz radnih paketa u kojem sudjeluje tržišna inspekcija, a također u svrhu planiranja dinamike provedbe aktivnosti nadzora i uzorkovanja proizvoda na tržištu, evaluacije rezultata ispitivanja, procjene rizika za nesukladne proizvode, posjete laboratorijima koji će provoditi ispitivanja, razmjene najboljih praksi u području nadzora tržišta. </w:t>
      </w:r>
    </w:p>
    <w:p w14:paraId="2BACE987" w14:textId="77777777" w:rsidR="004A7FF1" w:rsidRDefault="00C42291">
      <w:r>
        <w:t>U okviru navedenih projekata skreće se pažnja da s obzirom na sredstva koja se u projektima utroše u svrhu eventualno potrebne kupnje uzorka proizvoda stavljenih na tržište te njihova transporta u akreditirane laboratorije u svrhu ispitivanja ista sredstva se refundiraju iz EU sredstava na temelju izdanih računa za transport i/ili kupnju uzoraka.</w:t>
      </w:r>
    </w:p>
    <w:p w14:paraId="2387B7C9" w14:textId="77777777" w:rsidR="004A7FF1" w:rsidRDefault="00C42291">
      <w:pPr>
        <w:pStyle w:val="Naslov8"/>
        <w:jc w:val="left"/>
      </w:pPr>
      <w:r>
        <w:t>Pokazatelji rezultata</w:t>
      </w:r>
    </w:p>
    <w:tbl>
      <w:tblPr>
        <w:tblStyle w:val="StilTablice"/>
        <w:tblW w:w="10206" w:type="dxa"/>
        <w:jc w:val="center"/>
        <w:tblLook w:val="04A0" w:firstRow="1" w:lastRow="0" w:firstColumn="1" w:lastColumn="0" w:noHBand="0" w:noVBand="1"/>
      </w:tblPr>
      <w:tblGrid>
        <w:gridCol w:w="2325"/>
        <w:gridCol w:w="2325"/>
        <w:gridCol w:w="948"/>
        <w:gridCol w:w="914"/>
        <w:gridCol w:w="1270"/>
        <w:gridCol w:w="914"/>
        <w:gridCol w:w="914"/>
        <w:gridCol w:w="914"/>
      </w:tblGrid>
      <w:tr w:rsidR="004A7FF1" w14:paraId="5E7218F7" w14:textId="77777777">
        <w:trPr>
          <w:jc w:val="center"/>
        </w:trPr>
        <w:tc>
          <w:tcPr>
            <w:tcW w:w="2245" w:type="dxa"/>
            <w:shd w:val="clear" w:color="auto" w:fill="B5C0D8"/>
          </w:tcPr>
          <w:p w14:paraId="28A26865" w14:textId="77777777" w:rsidR="004A7FF1" w:rsidRDefault="00C42291">
            <w:pPr>
              <w:jc w:val="center"/>
            </w:pPr>
            <w:r>
              <w:t>Pokazatelj rezultata</w:t>
            </w:r>
          </w:p>
        </w:tc>
        <w:tc>
          <w:tcPr>
            <w:tcW w:w="2245" w:type="dxa"/>
            <w:shd w:val="clear" w:color="auto" w:fill="B5C0D8"/>
          </w:tcPr>
          <w:p w14:paraId="798BC461" w14:textId="77777777" w:rsidR="004A7FF1" w:rsidRDefault="00C42291">
            <w:pPr>
              <w:pStyle w:val="CellHeader"/>
              <w:jc w:val="center"/>
            </w:pPr>
            <w:r>
              <w:rPr>
                <w:rFonts w:cs="Times New Roman"/>
              </w:rPr>
              <w:t>Definicija</w:t>
            </w:r>
          </w:p>
        </w:tc>
        <w:tc>
          <w:tcPr>
            <w:tcW w:w="918" w:type="dxa"/>
            <w:shd w:val="clear" w:color="auto" w:fill="B5C0D8"/>
          </w:tcPr>
          <w:p w14:paraId="01F9A757" w14:textId="77777777" w:rsidR="004A7FF1" w:rsidRDefault="00C42291">
            <w:pPr>
              <w:pStyle w:val="CellHeader"/>
              <w:jc w:val="center"/>
            </w:pPr>
            <w:r>
              <w:rPr>
                <w:rFonts w:cs="Times New Roman"/>
              </w:rPr>
              <w:t>Jedinica</w:t>
            </w:r>
          </w:p>
        </w:tc>
        <w:tc>
          <w:tcPr>
            <w:tcW w:w="918" w:type="dxa"/>
            <w:shd w:val="clear" w:color="auto" w:fill="B5C0D8"/>
          </w:tcPr>
          <w:p w14:paraId="61956FDF" w14:textId="77777777" w:rsidR="004A7FF1" w:rsidRDefault="00C42291">
            <w:pPr>
              <w:pStyle w:val="CellHeader"/>
              <w:jc w:val="center"/>
            </w:pPr>
            <w:r>
              <w:rPr>
                <w:rFonts w:cs="Times New Roman"/>
              </w:rPr>
              <w:t>Polazna vrijednost</w:t>
            </w:r>
          </w:p>
        </w:tc>
        <w:tc>
          <w:tcPr>
            <w:tcW w:w="918" w:type="dxa"/>
            <w:shd w:val="clear" w:color="auto" w:fill="B5C0D8"/>
          </w:tcPr>
          <w:p w14:paraId="3CF1B1DB" w14:textId="77777777" w:rsidR="004A7FF1" w:rsidRDefault="00C42291">
            <w:pPr>
              <w:pStyle w:val="CellHeader"/>
              <w:jc w:val="center"/>
            </w:pPr>
            <w:r>
              <w:rPr>
                <w:rFonts w:cs="Times New Roman"/>
              </w:rPr>
              <w:t>Izvor podataka</w:t>
            </w:r>
          </w:p>
        </w:tc>
        <w:tc>
          <w:tcPr>
            <w:tcW w:w="918" w:type="dxa"/>
            <w:shd w:val="clear" w:color="auto" w:fill="B5C0D8"/>
          </w:tcPr>
          <w:p w14:paraId="1F40E1FF" w14:textId="77777777" w:rsidR="004A7FF1" w:rsidRDefault="00C42291">
            <w:pPr>
              <w:pStyle w:val="CellHeader"/>
              <w:jc w:val="center"/>
            </w:pPr>
            <w:r>
              <w:rPr>
                <w:rFonts w:cs="Times New Roman"/>
              </w:rPr>
              <w:t>Ciljana vrijednost (2024.)</w:t>
            </w:r>
          </w:p>
        </w:tc>
        <w:tc>
          <w:tcPr>
            <w:tcW w:w="918" w:type="dxa"/>
            <w:shd w:val="clear" w:color="auto" w:fill="B5C0D8"/>
          </w:tcPr>
          <w:p w14:paraId="172AB966" w14:textId="77777777" w:rsidR="004A7FF1" w:rsidRDefault="00C42291">
            <w:pPr>
              <w:pStyle w:val="CellHeader"/>
              <w:jc w:val="center"/>
            </w:pPr>
            <w:r>
              <w:rPr>
                <w:rFonts w:cs="Times New Roman"/>
              </w:rPr>
              <w:t>Ciljana vrijednost (2025.)</w:t>
            </w:r>
          </w:p>
        </w:tc>
        <w:tc>
          <w:tcPr>
            <w:tcW w:w="918" w:type="dxa"/>
            <w:shd w:val="clear" w:color="auto" w:fill="B5C0D8"/>
          </w:tcPr>
          <w:p w14:paraId="5D1735A6" w14:textId="77777777" w:rsidR="004A7FF1" w:rsidRDefault="00C42291">
            <w:pPr>
              <w:pStyle w:val="CellHeader"/>
              <w:jc w:val="center"/>
            </w:pPr>
            <w:r>
              <w:rPr>
                <w:rFonts w:cs="Times New Roman"/>
              </w:rPr>
              <w:t>Ciljana vrijednost (2026.)</w:t>
            </w:r>
          </w:p>
        </w:tc>
      </w:tr>
      <w:tr w:rsidR="004A7FF1" w14:paraId="1BF2D308" w14:textId="77777777">
        <w:trPr>
          <w:jc w:val="center"/>
        </w:trPr>
        <w:tc>
          <w:tcPr>
            <w:tcW w:w="2245" w:type="dxa"/>
            <w:vAlign w:val="top"/>
          </w:tcPr>
          <w:p w14:paraId="5A3498A4" w14:textId="77777777" w:rsidR="004A7FF1" w:rsidRDefault="00C42291">
            <w:pPr>
              <w:pStyle w:val="CellColumn"/>
              <w:jc w:val="left"/>
            </w:pPr>
            <w:r>
              <w:rPr>
                <w:rFonts w:cs="Times New Roman"/>
              </w:rPr>
              <w:lastRenderedPageBreak/>
              <w:t>Udio uzorkovanih proizvoda u planiranom broju uzoraka proizvoda (klima uređaji/ventilatori/rasvjetna tijela)</w:t>
            </w:r>
          </w:p>
        </w:tc>
        <w:tc>
          <w:tcPr>
            <w:tcW w:w="2245" w:type="dxa"/>
            <w:vAlign w:val="top"/>
          </w:tcPr>
          <w:p w14:paraId="2ED0AE69" w14:textId="77777777" w:rsidR="004A7FF1" w:rsidRDefault="00C42291">
            <w:pPr>
              <w:pStyle w:val="CellColumn"/>
              <w:jc w:val="left"/>
            </w:pPr>
            <w:r>
              <w:rPr>
                <w:rFonts w:cs="Times New Roman"/>
              </w:rPr>
              <w:t>Ispitivanjem proizvoda (klima uređaji/ventilatori/rasvjetna tijela) uzorkovanih sa tržišta u okviru projekta provjerava se njihova sukladnost s propisanim zahtjevima kako bi se omogućilo uklanjanje s tržišta nesukladnih proizvoda i osiguralo da potrošačima na tržištu budu dostupni energetski učinkoviti proizvodi</w:t>
            </w:r>
          </w:p>
        </w:tc>
        <w:tc>
          <w:tcPr>
            <w:tcW w:w="918" w:type="dxa"/>
          </w:tcPr>
          <w:p w14:paraId="16BFBC07" w14:textId="77777777" w:rsidR="004A7FF1" w:rsidRDefault="00C42291">
            <w:pPr>
              <w:jc w:val="center"/>
            </w:pPr>
            <w:r>
              <w:t>Postotak</w:t>
            </w:r>
          </w:p>
        </w:tc>
        <w:tc>
          <w:tcPr>
            <w:tcW w:w="918" w:type="dxa"/>
          </w:tcPr>
          <w:p w14:paraId="549D0FC4" w14:textId="77777777" w:rsidR="004A7FF1" w:rsidRDefault="00C42291">
            <w:pPr>
              <w:jc w:val="center"/>
            </w:pPr>
            <w:r>
              <w:t>0</w:t>
            </w:r>
          </w:p>
        </w:tc>
        <w:tc>
          <w:tcPr>
            <w:tcW w:w="918" w:type="dxa"/>
          </w:tcPr>
          <w:p w14:paraId="2872A706" w14:textId="77777777" w:rsidR="004A7FF1" w:rsidRDefault="00C42291">
            <w:pPr>
              <w:pStyle w:val="CellColumn"/>
              <w:jc w:val="center"/>
            </w:pPr>
            <w:r>
              <w:rPr>
                <w:rFonts w:cs="Times New Roman"/>
              </w:rPr>
              <w:t>Izvješće koordinatora o provedbi projekta EEPLIANT3</w:t>
            </w:r>
          </w:p>
        </w:tc>
        <w:tc>
          <w:tcPr>
            <w:tcW w:w="918" w:type="dxa"/>
          </w:tcPr>
          <w:p w14:paraId="517E5C55" w14:textId="77777777" w:rsidR="004A7FF1" w:rsidRDefault="00C42291">
            <w:pPr>
              <w:jc w:val="center"/>
            </w:pPr>
            <w:r>
              <w:t>100</w:t>
            </w:r>
          </w:p>
        </w:tc>
        <w:tc>
          <w:tcPr>
            <w:tcW w:w="918" w:type="dxa"/>
          </w:tcPr>
          <w:p w14:paraId="77A909D5" w14:textId="77777777" w:rsidR="004A7FF1" w:rsidRDefault="00C42291">
            <w:pPr>
              <w:jc w:val="center"/>
            </w:pPr>
            <w:r>
              <w:t>-</w:t>
            </w:r>
          </w:p>
        </w:tc>
        <w:tc>
          <w:tcPr>
            <w:tcW w:w="918" w:type="dxa"/>
          </w:tcPr>
          <w:p w14:paraId="2AEB323B" w14:textId="77777777" w:rsidR="004A7FF1" w:rsidRDefault="00C42291">
            <w:pPr>
              <w:jc w:val="center"/>
            </w:pPr>
            <w:r>
              <w:t>-</w:t>
            </w:r>
          </w:p>
        </w:tc>
      </w:tr>
      <w:tr w:rsidR="004A7FF1" w14:paraId="13F51990" w14:textId="77777777">
        <w:trPr>
          <w:jc w:val="center"/>
        </w:trPr>
        <w:tc>
          <w:tcPr>
            <w:tcW w:w="2245" w:type="dxa"/>
            <w:vAlign w:val="top"/>
          </w:tcPr>
          <w:p w14:paraId="4D96AC54" w14:textId="77777777" w:rsidR="004A7FF1" w:rsidRDefault="00C42291">
            <w:pPr>
              <w:pStyle w:val="CellColumn"/>
              <w:jc w:val="left"/>
            </w:pPr>
            <w:r>
              <w:rPr>
                <w:rFonts w:cs="Times New Roman"/>
              </w:rPr>
              <w:t>Udio pregledanih proizvoda u planiranom broju pregledanih proizvoda (klima uređaji/ventilatori/rasvjetna tijela) s obzirom na označavanja energetske učinkovitosti i prateću dokumentacije</w:t>
            </w:r>
          </w:p>
        </w:tc>
        <w:tc>
          <w:tcPr>
            <w:tcW w:w="2245" w:type="dxa"/>
            <w:vAlign w:val="top"/>
          </w:tcPr>
          <w:p w14:paraId="285DE4DD" w14:textId="77777777" w:rsidR="004A7FF1" w:rsidRDefault="00C42291">
            <w:pPr>
              <w:pStyle w:val="CellColumn"/>
              <w:jc w:val="left"/>
            </w:pPr>
            <w:r>
              <w:rPr>
                <w:rFonts w:cs="Times New Roman"/>
              </w:rPr>
              <w:t>Provjerom ispravnosti  označavanja oznakama energetske učinkovitosti i prateće dokumentacije u okviru projekta provjerava se sukladnost proizvoda s propisanim zahtjevima kako bi se omogućilo uklanjanje s tržišta nesukladnih proizvoda i osiguralo da potrošačima na tržištu budu dostupni energetski učinkoviti proizvodi</w:t>
            </w:r>
          </w:p>
        </w:tc>
        <w:tc>
          <w:tcPr>
            <w:tcW w:w="918" w:type="dxa"/>
          </w:tcPr>
          <w:p w14:paraId="3521BDAA" w14:textId="77777777" w:rsidR="004A7FF1" w:rsidRDefault="00C42291">
            <w:pPr>
              <w:jc w:val="center"/>
            </w:pPr>
            <w:r>
              <w:t>Postotak</w:t>
            </w:r>
          </w:p>
        </w:tc>
        <w:tc>
          <w:tcPr>
            <w:tcW w:w="918" w:type="dxa"/>
          </w:tcPr>
          <w:p w14:paraId="6A75F241" w14:textId="77777777" w:rsidR="004A7FF1" w:rsidRDefault="00C42291">
            <w:pPr>
              <w:jc w:val="center"/>
            </w:pPr>
            <w:r>
              <w:t>0</w:t>
            </w:r>
          </w:p>
        </w:tc>
        <w:tc>
          <w:tcPr>
            <w:tcW w:w="918" w:type="dxa"/>
          </w:tcPr>
          <w:p w14:paraId="49DB9D1A" w14:textId="77777777" w:rsidR="004A7FF1" w:rsidRDefault="00C42291">
            <w:pPr>
              <w:pStyle w:val="CellColumn"/>
              <w:jc w:val="center"/>
            </w:pPr>
            <w:r>
              <w:rPr>
                <w:rFonts w:cs="Times New Roman"/>
              </w:rPr>
              <w:t>Izvješće koordinatora o provedbi projekta EEPLIANT3</w:t>
            </w:r>
          </w:p>
        </w:tc>
        <w:tc>
          <w:tcPr>
            <w:tcW w:w="918" w:type="dxa"/>
          </w:tcPr>
          <w:p w14:paraId="0926C118" w14:textId="77777777" w:rsidR="004A7FF1" w:rsidRDefault="00C42291">
            <w:pPr>
              <w:jc w:val="center"/>
            </w:pPr>
            <w:r>
              <w:t>100</w:t>
            </w:r>
          </w:p>
        </w:tc>
        <w:tc>
          <w:tcPr>
            <w:tcW w:w="918" w:type="dxa"/>
          </w:tcPr>
          <w:p w14:paraId="2ECA769C" w14:textId="77777777" w:rsidR="004A7FF1" w:rsidRDefault="00C42291">
            <w:pPr>
              <w:jc w:val="center"/>
            </w:pPr>
            <w:r>
              <w:t>-</w:t>
            </w:r>
          </w:p>
        </w:tc>
        <w:tc>
          <w:tcPr>
            <w:tcW w:w="918" w:type="dxa"/>
          </w:tcPr>
          <w:p w14:paraId="2834FDB0" w14:textId="77777777" w:rsidR="004A7FF1" w:rsidRDefault="00C42291">
            <w:pPr>
              <w:jc w:val="center"/>
            </w:pPr>
            <w:r>
              <w:t>-</w:t>
            </w:r>
          </w:p>
        </w:tc>
      </w:tr>
      <w:tr w:rsidR="004A7FF1" w14:paraId="21A8395F" w14:textId="77777777">
        <w:trPr>
          <w:jc w:val="center"/>
        </w:trPr>
        <w:tc>
          <w:tcPr>
            <w:tcW w:w="2245" w:type="dxa"/>
            <w:vAlign w:val="top"/>
          </w:tcPr>
          <w:p w14:paraId="3CE26DDF" w14:textId="77777777" w:rsidR="004A7FF1" w:rsidRDefault="00C42291">
            <w:pPr>
              <w:pStyle w:val="CellColumn"/>
              <w:jc w:val="left"/>
            </w:pPr>
            <w:r>
              <w:rPr>
                <w:rFonts w:cs="Times New Roman"/>
              </w:rPr>
              <w:t>Broj tržišnih inspektora  koje su u okviru projekta završile edukacije</w:t>
            </w:r>
          </w:p>
        </w:tc>
        <w:tc>
          <w:tcPr>
            <w:tcW w:w="2245" w:type="dxa"/>
            <w:vAlign w:val="top"/>
          </w:tcPr>
          <w:p w14:paraId="559DE591" w14:textId="77777777" w:rsidR="004A7FF1" w:rsidRDefault="00C42291">
            <w:pPr>
              <w:pStyle w:val="CellColumn"/>
              <w:jc w:val="left"/>
            </w:pPr>
            <w:r>
              <w:rPr>
                <w:rFonts w:cs="Times New Roman"/>
              </w:rPr>
              <w:t>Jedan od ciljeva projekta je usvajanje najboljih praksi iz područja nadzora tržišta proizvoda povezanih s energijom u svrhu ujednačene primjene zakonodavstva u području energetske učinkovitosti i ekodizajna proizvoda i jačanja učinkovitosti inspekcijskih nadzora u istom području, ašto se postiže kroz edukacijske aktivnosti</w:t>
            </w:r>
          </w:p>
        </w:tc>
        <w:tc>
          <w:tcPr>
            <w:tcW w:w="918" w:type="dxa"/>
          </w:tcPr>
          <w:p w14:paraId="257CD88C" w14:textId="77777777" w:rsidR="004A7FF1" w:rsidRDefault="00C42291">
            <w:pPr>
              <w:jc w:val="center"/>
            </w:pPr>
            <w:r>
              <w:t>Broj tržišnih inspektora</w:t>
            </w:r>
          </w:p>
        </w:tc>
        <w:tc>
          <w:tcPr>
            <w:tcW w:w="918" w:type="dxa"/>
          </w:tcPr>
          <w:p w14:paraId="418C49C7" w14:textId="77777777" w:rsidR="004A7FF1" w:rsidRDefault="00C42291">
            <w:pPr>
              <w:jc w:val="center"/>
            </w:pPr>
            <w:r>
              <w:t>1</w:t>
            </w:r>
          </w:p>
        </w:tc>
        <w:tc>
          <w:tcPr>
            <w:tcW w:w="918" w:type="dxa"/>
          </w:tcPr>
          <w:p w14:paraId="3DF725BE" w14:textId="77777777" w:rsidR="004A7FF1" w:rsidRDefault="00C42291">
            <w:pPr>
              <w:pStyle w:val="CellColumn"/>
              <w:jc w:val="center"/>
            </w:pPr>
            <w:r>
              <w:rPr>
                <w:rFonts w:cs="Times New Roman"/>
              </w:rPr>
              <w:t>Izvješće koordinatora o provedbi projekta EEPLIANT3</w:t>
            </w:r>
          </w:p>
        </w:tc>
        <w:tc>
          <w:tcPr>
            <w:tcW w:w="918" w:type="dxa"/>
          </w:tcPr>
          <w:p w14:paraId="4D6FCAAE" w14:textId="77777777" w:rsidR="004A7FF1" w:rsidRDefault="00C42291">
            <w:pPr>
              <w:jc w:val="center"/>
            </w:pPr>
            <w:r>
              <w:t>1</w:t>
            </w:r>
          </w:p>
        </w:tc>
        <w:tc>
          <w:tcPr>
            <w:tcW w:w="918" w:type="dxa"/>
          </w:tcPr>
          <w:p w14:paraId="54BF5B30" w14:textId="77777777" w:rsidR="004A7FF1" w:rsidRDefault="00C42291">
            <w:pPr>
              <w:jc w:val="center"/>
            </w:pPr>
            <w:r>
              <w:t>-</w:t>
            </w:r>
          </w:p>
        </w:tc>
        <w:tc>
          <w:tcPr>
            <w:tcW w:w="918" w:type="dxa"/>
          </w:tcPr>
          <w:p w14:paraId="4C1A2271" w14:textId="77777777" w:rsidR="004A7FF1" w:rsidRDefault="00C42291">
            <w:pPr>
              <w:jc w:val="center"/>
            </w:pPr>
            <w:r>
              <w:t>-</w:t>
            </w:r>
          </w:p>
        </w:tc>
      </w:tr>
      <w:tr w:rsidR="004A7FF1" w14:paraId="5494C684" w14:textId="77777777">
        <w:trPr>
          <w:jc w:val="center"/>
        </w:trPr>
        <w:tc>
          <w:tcPr>
            <w:tcW w:w="2245" w:type="dxa"/>
            <w:vAlign w:val="top"/>
          </w:tcPr>
          <w:p w14:paraId="4DADAFB4" w14:textId="77777777" w:rsidR="004A7FF1" w:rsidRDefault="00C42291">
            <w:pPr>
              <w:pStyle w:val="CellColumn"/>
              <w:jc w:val="left"/>
            </w:pPr>
            <w:r>
              <w:rPr>
                <w:rFonts w:cs="Times New Roman"/>
              </w:rPr>
              <w:t>Udio uzorkovanih proizvoda u planiranom broju uzoraka proizvoda (elektronički zasloni – TV monitori)</w:t>
            </w:r>
          </w:p>
        </w:tc>
        <w:tc>
          <w:tcPr>
            <w:tcW w:w="2245" w:type="dxa"/>
            <w:vAlign w:val="top"/>
          </w:tcPr>
          <w:p w14:paraId="1B3A5D17" w14:textId="77777777" w:rsidR="004A7FF1" w:rsidRDefault="00C42291">
            <w:pPr>
              <w:pStyle w:val="CellColumn"/>
              <w:jc w:val="left"/>
            </w:pPr>
            <w:r>
              <w:rPr>
                <w:rFonts w:cs="Times New Roman"/>
              </w:rPr>
              <w:t>Ispitivanjem proizvoda (elektronički zasloni - TV monitori) uzorkovanih sa tržišta u okviru projekta provjerava se njihova sukladnost s propisanim zahtjevima kako bi se omogućilo uklanjanje s tržišta nesukladnih proizvoda i osiguralo da potrošačima na tržištu budu dostupni energetski učinkoviti proizvodi</w:t>
            </w:r>
          </w:p>
        </w:tc>
        <w:tc>
          <w:tcPr>
            <w:tcW w:w="918" w:type="dxa"/>
          </w:tcPr>
          <w:p w14:paraId="291206E3" w14:textId="77777777" w:rsidR="004A7FF1" w:rsidRDefault="00C42291">
            <w:pPr>
              <w:jc w:val="center"/>
            </w:pPr>
            <w:r>
              <w:t>Postotak</w:t>
            </w:r>
          </w:p>
        </w:tc>
        <w:tc>
          <w:tcPr>
            <w:tcW w:w="918" w:type="dxa"/>
          </w:tcPr>
          <w:p w14:paraId="339EE98A" w14:textId="77777777" w:rsidR="004A7FF1" w:rsidRDefault="00C42291">
            <w:pPr>
              <w:jc w:val="center"/>
            </w:pPr>
            <w:r>
              <w:t>0</w:t>
            </w:r>
          </w:p>
        </w:tc>
        <w:tc>
          <w:tcPr>
            <w:tcW w:w="918" w:type="dxa"/>
          </w:tcPr>
          <w:p w14:paraId="72721A03" w14:textId="77777777" w:rsidR="004A7FF1" w:rsidRDefault="00C42291">
            <w:pPr>
              <w:pStyle w:val="CellColumn"/>
              <w:jc w:val="center"/>
            </w:pPr>
            <w:r>
              <w:rPr>
                <w:rFonts w:cs="Times New Roman"/>
              </w:rPr>
              <w:t>Izvješće koordinatora o provedbi projekta JAHARP2021 Omnibus</w:t>
            </w:r>
          </w:p>
        </w:tc>
        <w:tc>
          <w:tcPr>
            <w:tcW w:w="918" w:type="dxa"/>
          </w:tcPr>
          <w:p w14:paraId="1E5CDEDA" w14:textId="77777777" w:rsidR="004A7FF1" w:rsidRDefault="00C42291">
            <w:pPr>
              <w:jc w:val="center"/>
            </w:pPr>
            <w:r>
              <w:t>100</w:t>
            </w:r>
          </w:p>
        </w:tc>
        <w:tc>
          <w:tcPr>
            <w:tcW w:w="918" w:type="dxa"/>
          </w:tcPr>
          <w:p w14:paraId="6BDE0B1D" w14:textId="77777777" w:rsidR="004A7FF1" w:rsidRDefault="00C42291">
            <w:pPr>
              <w:jc w:val="center"/>
            </w:pPr>
            <w:r>
              <w:t>-</w:t>
            </w:r>
          </w:p>
        </w:tc>
        <w:tc>
          <w:tcPr>
            <w:tcW w:w="918" w:type="dxa"/>
          </w:tcPr>
          <w:p w14:paraId="405D4109" w14:textId="77777777" w:rsidR="004A7FF1" w:rsidRDefault="00C42291">
            <w:pPr>
              <w:jc w:val="center"/>
            </w:pPr>
            <w:r>
              <w:t>-</w:t>
            </w:r>
          </w:p>
        </w:tc>
      </w:tr>
      <w:tr w:rsidR="004A7FF1" w14:paraId="34937D11" w14:textId="77777777">
        <w:trPr>
          <w:jc w:val="center"/>
        </w:trPr>
        <w:tc>
          <w:tcPr>
            <w:tcW w:w="2245" w:type="dxa"/>
            <w:vAlign w:val="top"/>
          </w:tcPr>
          <w:p w14:paraId="6A90A465" w14:textId="77777777" w:rsidR="004A7FF1" w:rsidRDefault="00C42291">
            <w:pPr>
              <w:pStyle w:val="CellColumn"/>
              <w:jc w:val="left"/>
            </w:pPr>
            <w:r>
              <w:rPr>
                <w:rFonts w:cs="Times New Roman"/>
              </w:rPr>
              <w:lastRenderedPageBreak/>
              <w:t>Udio pregledanih proizvoda u planiranom broju pregledanih proizvoda (elektronički zasloni –TV monitori) s obzirom na označavanje energetske učinkovitosti i prateću dokumentacije</w:t>
            </w:r>
          </w:p>
        </w:tc>
        <w:tc>
          <w:tcPr>
            <w:tcW w:w="2245" w:type="dxa"/>
            <w:vAlign w:val="top"/>
          </w:tcPr>
          <w:p w14:paraId="49FFACDA" w14:textId="77777777" w:rsidR="004A7FF1" w:rsidRDefault="00C42291">
            <w:pPr>
              <w:pStyle w:val="CellColumn"/>
              <w:jc w:val="left"/>
            </w:pPr>
            <w:r>
              <w:rPr>
                <w:rFonts w:cs="Times New Roman"/>
              </w:rPr>
              <w:t>Provjerom ispravnosti  označavanja oznakama energetske učinkovitosti i prateće dokumentacije u okviru projekta provjerava se sukladnost proizvoda s propisanim zahtjevima kako bi se omogućilo uklanjanje s tržišta nesukladnih proizvoda i osiguralo da potrošačima na tržištu budu dostupni energetski učinkoviti proizvodi</w:t>
            </w:r>
          </w:p>
        </w:tc>
        <w:tc>
          <w:tcPr>
            <w:tcW w:w="918" w:type="dxa"/>
          </w:tcPr>
          <w:p w14:paraId="70971231" w14:textId="77777777" w:rsidR="004A7FF1" w:rsidRDefault="00C42291">
            <w:pPr>
              <w:jc w:val="center"/>
            </w:pPr>
            <w:r>
              <w:t>Postotak</w:t>
            </w:r>
          </w:p>
        </w:tc>
        <w:tc>
          <w:tcPr>
            <w:tcW w:w="918" w:type="dxa"/>
          </w:tcPr>
          <w:p w14:paraId="6EA1CA53" w14:textId="77777777" w:rsidR="004A7FF1" w:rsidRDefault="00C42291">
            <w:pPr>
              <w:jc w:val="center"/>
            </w:pPr>
            <w:r>
              <w:t>0</w:t>
            </w:r>
          </w:p>
        </w:tc>
        <w:tc>
          <w:tcPr>
            <w:tcW w:w="918" w:type="dxa"/>
          </w:tcPr>
          <w:p w14:paraId="4FDBBAFA" w14:textId="77777777" w:rsidR="004A7FF1" w:rsidRDefault="00C42291">
            <w:pPr>
              <w:pStyle w:val="CellColumn"/>
              <w:jc w:val="center"/>
            </w:pPr>
            <w:r>
              <w:rPr>
                <w:rFonts w:cs="Times New Roman"/>
              </w:rPr>
              <w:t>Izvješće koordinatora o provedbi projekta JAHARP2021 Omnibus</w:t>
            </w:r>
          </w:p>
        </w:tc>
        <w:tc>
          <w:tcPr>
            <w:tcW w:w="918" w:type="dxa"/>
          </w:tcPr>
          <w:p w14:paraId="3BA0E728" w14:textId="77777777" w:rsidR="004A7FF1" w:rsidRDefault="00C42291">
            <w:pPr>
              <w:jc w:val="center"/>
            </w:pPr>
            <w:r>
              <w:t>100</w:t>
            </w:r>
          </w:p>
        </w:tc>
        <w:tc>
          <w:tcPr>
            <w:tcW w:w="918" w:type="dxa"/>
          </w:tcPr>
          <w:p w14:paraId="26D0B74F" w14:textId="77777777" w:rsidR="004A7FF1" w:rsidRDefault="00C42291">
            <w:pPr>
              <w:jc w:val="center"/>
            </w:pPr>
            <w:r>
              <w:t>-</w:t>
            </w:r>
          </w:p>
        </w:tc>
        <w:tc>
          <w:tcPr>
            <w:tcW w:w="918" w:type="dxa"/>
          </w:tcPr>
          <w:p w14:paraId="30151A02" w14:textId="77777777" w:rsidR="004A7FF1" w:rsidRDefault="00C42291">
            <w:pPr>
              <w:jc w:val="center"/>
            </w:pPr>
            <w:r>
              <w:t>-</w:t>
            </w:r>
          </w:p>
        </w:tc>
      </w:tr>
      <w:tr w:rsidR="004A7FF1" w14:paraId="58A6C900" w14:textId="77777777">
        <w:trPr>
          <w:jc w:val="center"/>
        </w:trPr>
        <w:tc>
          <w:tcPr>
            <w:tcW w:w="2245" w:type="dxa"/>
            <w:vAlign w:val="top"/>
          </w:tcPr>
          <w:p w14:paraId="1931D3D0" w14:textId="77777777" w:rsidR="004A7FF1" w:rsidRDefault="00C42291">
            <w:pPr>
              <w:pStyle w:val="CellColumn"/>
              <w:jc w:val="left"/>
            </w:pPr>
            <w:r>
              <w:rPr>
                <w:rFonts w:cs="Times New Roman"/>
              </w:rPr>
              <w:t>Udio uzorkovanih proizvoda u planiranom broju uzoraka proizvoda (strojevi – kružne pile)</w:t>
            </w:r>
          </w:p>
        </w:tc>
        <w:tc>
          <w:tcPr>
            <w:tcW w:w="2245" w:type="dxa"/>
            <w:vAlign w:val="top"/>
          </w:tcPr>
          <w:p w14:paraId="279795DA" w14:textId="77777777" w:rsidR="004A7FF1" w:rsidRDefault="00C42291">
            <w:pPr>
              <w:pStyle w:val="CellColumn"/>
              <w:jc w:val="left"/>
            </w:pPr>
            <w:r>
              <w:rPr>
                <w:rFonts w:cs="Times New Roman"/>
              </w:rPr>
              <w:t>Ispitivanjem proizvoda (strojevi – kružne pile) uzorkovanih sa tržišta u okviru projekta provjerava se njihova sukladnost s propisanim zahtjevima kako bi se omogućilo uklanjanje s tržišta nesukladnih proizvoda i osiguralo da potrošačima na tržištu budu dostupni samo sukladni proizvodi</w:t>
            </w:r>
          </w:p>
        </w:tc>
        <w:tc>
          <w:tcPr>
            <w:tcW w:w="918" w:type="dxa"/>
          </w:tcPr>
          <w:p w14:paraId="7D5C8403" w14:textId="77777777" w:rsidR="004A7FF1" w:rsidRDefault="00C42291">
            <w:pPr>
              <w:jc w:val="center"/>
            </w:pPr>
            <w:r>
              <w:t>Postotak</w:t>
            </w:r>
          </w:p>
        </w:tc>
        <w:tc>
          <w:tcPr>
            <w:tcW w:w="918" w:type="dxa"/>
          </w:tcPr>
          <w:p w14:paraId="614173A7" w14:textId="77777777" w:rsidR="004A7FF1" w:rsidRDefault="00C42291">
            <w:pPr>
              <w:jc w:val="center"/>
            </w:pPr>
            <w:r>
              <w:t>0</w:t>
            </w:r>
          </w:p>
        </w:tc>
        <w:tc>
          <w:tcPr>
            <w:tcW w:w="918" w:type="dxa"/>
          </w:tcPr>
          <w:p w14:paraId="26FEC495" w14:textId="77777777" w:rsidR="004A7FF1" w:rsidRDefault="00C42291">
            <w:pPr>
              <w:pStyle w:val="CellColumn"/>
              <w:jc w:val="center"/>
            </w:pPr>
            <w:r>
              <w:rPr>
                <w:rFonts w:cs="Times New Roman"/>
              </w:rPr>
              <w:t>Izvješće koordinatora o provedbi projekta JAHARP2021 Omnibus</w:t>
            </w:r>
          </w:p>
        </w:tc>
        <w:tc>
          <w:tcPr>
            <w:tcW w:w="918" w:type="dxa"/>
          </w:tcPr>
          <w:p w14:paraId="16C845B9" w14:textId="77777777" w:rsidR="004A7FF1" w:rsidRDefault="00C42291">
            <w:pPr>
              <w:jc w:val="center"/>
            </w:pPr>
            <w:r>
              <w:t>100</w:t>
            </w:r>
          </w:p>
        </w:tc>
        <w:tc>
          <w:tcPr>
            <w:tcW w:w="918" w:type="dxa"/>
          </w:tcPr>
          <w:p w14:paraId="1C278986" w14:textId="77777777" w:rsidR="004A7FF1" w:rsidRDefault="00C42291">
            <w:pPr>
              <w:jc w:val="center"/>
            </w:pPr>
            <w:r>
              <w:t>-</w:t>
            </w:r>
          </w:p>
        </w:tc>
        <w:tc>
          <w:tcPr>
            <w:tcW w:w="918" w:type="dxa"/>
          </w:tcPr>
          <w:p w14:paraId="33D39FD0" w14:textId="77777777" w:rsidR="004A7FF1" w:rsidRDefault="00C42291">
            <w:pPr>
              <w:jc w:val="center"/>
            </w:pPr>
            <w:r>
              <w:t>-</w:t>
            </w:r>
          </w:p>
        </w:tc>
      </w:tr>
      <w:tr w:rsidR="004A7FF1" w14:paraId="7CB79223" w14:textId="77777777">
        <w:trPr>
          <w:jc w:val="center"/>
        </w:trPr>
        <w:tc>
          <w:tcPr>
            <w:tcW w:w="2245" w:type="dxa"/>
            <w:vAlign w:val="top"/>
          </w:tcPr>
          <w:p w14:paraId="1179E80F" w14:textId="77777777" w:rsidR="004A7FF1" w:rsidRDefault="00C42291">
            <w:pPr>
              <w:pStyle w:val="CellColumn"/>
              <w:jc w:val="left"/>
            </w:pPr>
            <w:r>
              <w:rPr>
                <w:rFonts w:cs="Times New Roman"/>
              </w:rPr>
              <w:t>Udio pregledanih proizvoda u planiranom broju pregledanih proizvoda (strojevi-kružne pile) s obzirom na označavanje/prateću dokumentacije</w:t>
            </w:r>
          </w:p>
        </w:tc>
        <w:tc>
          <w:tcPr>
            <w:tcW w:w="2245" w:type="dxa"/>
            <w:vAlign w:val="top"/>
          </w:tcPr>
          <w:p w14:paraId="0CC83FE0" w14:textId="77777777" w:rsidR="004A7FF1" w:rsidRDefault="00C42291">
            <w:pPr>
              <w:pStyle w:val="CellColumn"/>
              <w:jc w:val="left"/>
            </w:pPr>
            <w:r>
              <w:rPr>
                <w:rFonts w:cs="Times New Roman"/>
              </w:rPr>
              <w:t>Provjerom ispravnosti  označavanja/prateće dokumentacije u okviru projekta provjerava se sukladnost proizvoda s propisanim zahtjevima kako bi se omogućilo uklanjanje s tržišta nesukladnih proizvoda i osiguralo da potrošačima na tržištu budu dostupni sukladni proizvodi</w:t>
            </w:r>
          </w:p>
        </w:tc>
        <w:tc>
          <w:tcPr>
            <w:tcW w:w="918" w:type="dxa"/>
          </w:tcPr>
          <w:p w14:paraId="79471F3B" w14:textId="77777777" w:rsidR="004A7FF1" w:rsidRDefault="00C42291">
            <w:pPr>
              <w:jc w:val="center"/>
            </w:pPr>
            <w:r>
              <w:t>Postotak</w:t>
            </w:r>
          </w:p>
        </w:tc>
        <w:tc>
          <w:tcPr>
            <w:tcW w:w="918" w:type="dxa"/>
          </w:tcPr>
          <w:p w14:paraId="388616BE" w14:textId="77777777" w:rsidR="004A7FF1" w:rsidRDefault="00C42291">
            <w:pPr>
              <w:jc w:val="center"/>
            </w:pPr>
            <w:r>
              <w:t>0</w:t>
            </w:r>
          </w:p>
        </w:tc>
        <w:tc>
          <w:tcPr>
            <w:tcW w:w="918" w:type="dxa"/>
          </w:tcPr>
          <w:p w14:paraId="0B2337B1" w14:textId="77777777" w:rsidR="004A7FF1" w:rsidRDefault="00C42291">
            <w:pPr>
              <w:pStyle w:val="CellColumn"/>
              <w:jc w:val="center"/>
            </w:pPr>
            <w:r>
              <w:rPr>
                <w:rFonts w:cs="Times New Roman"/>
              </w:rPr>
              <w:t>Izvješće koordinatora o provedbi projekta JAHARP2021 Omnibus</w:t>
            </w:r>
          </w:p>
        </w:tc>
        <w:tc>
          <w:tcPr>
            <w:tcW w:w="918" w:type="dxa"/>
          </w:tcPr>
          <w:p w14:paraId="611C2B69" w14:textId="77777777" w:rsidR="004A7FF1" w:rsidRDefault="00C42291">
            <w:pPr>
              <w:jc w:val="center"/>
            </w:pPr>
            <w:r>
              <w:t>100</w:t>
            </w:r>
          </w:p>
        </w:tc>
        <w:tc>
          <w:tcPr>
            <w:tcW w:w="918" w:type="dxa"/>
          </w:tcPr>
          <w:p w14:paraId="10BA3822" w14:textId="77777777" w:rsidR="004A7FF1" w:rsidRDefault="00C42291">
            <w:pPr>
              <w:jc w:val="center"/>
            </w:pPr>
            <w:r>
              <w:t>-</w:t>
            </w:r>
          </w:p>
        </w:tc>
        <w:tc>
          <w:tcPr>
            <w:tcW w:w="918" w:type="dxa"/>
          </w:tcPr>
          <w:p w14:paraId="530833C9" w14:textId="77777777" w:rsidR="004A7FF1" w:rsidRDefault="00C42291">
            <w:pPr>
              <w:jc w:val="center"/>
            </w:pPr>
            <w:r>
              <w:t>-</w:t>
            </w:r>
          </w:p>
        </w:tc>
      </w:tr>
      <w:tr w:rsidR="004A7FF1" w14:paraId="34A1C884" w14:textId="77777777">
        <w:trPr>
          <w:jc w:val="center"/>
        </w:trPr>
        <w:tc>
          <w:tcPr>
            <w:tcW w:w="2245" w:type="dxa"/>
            <w:vAlign w:val="top"/>
          </w:tcPr>
          <w:p w14:paraId="296E4D0A" w14:textId="77777777" w:rsidR="004A7FF1" w:rsidRDefault="00C42291">
            <w:pPr>
              <w:pStyle w:val="CellColumn"/>
              <w:jc w:val="left"/>
            </w:pPr>
            <w:r>
              <w:rPr>
                <w:rFonts w:cs="Times New Roman"/>
              </w:rPr>
              <w:t>Udio uzorkovanih proizvoda u planiranom broju uzoraka proizvoda (perilice rublja)</w:t>
            </w:r>
          </w:p>
        </w:tc>
        <w:tc>
          <w:tcPr>
            <w:tcW w:w="2245" w:type="dxa"/>
            <w:vAlign w:val="top"/>
          </w:tcPr>
          <w:p w14:paraId="078E4A15" w14:textId="77777777" w:rsidR="004A7FF1" w:rsidRDefault="00C42291">
            <w:pPr>
              <w:pStyle w:val="CellColumn"/>
              <w:jc w:val="left"/>
            </w:pPr>
            <w:r>
              <w:rPr>
                <w:rFonts w:cs="Times New Roman"/>
              </w:rPr>
              <w:t>Ispitivanjem proizvoda (perilice rublja) uzorkovanih sa tržišta u okviru projekta provjerava se njihova sukladnost s propisanim zahtjevima kako bi se omogućilo uklanjanje s tržišta nesukladnih proizvoda i osiguralo da potrošačima na tržištu budu dostupni energetski učinkoviti proizvodi</w:t>
            </w:r>
          </w:p>
        </w:tc>
        <w:tc>
          <w:tcPr>
            <w:tcW w:w="918" w:type="dxa"/>
          </w:tcPr>
          <w:p w14:paraId="78BCCC1C" w14:textId="77777777" w:rsidR="004A7FF1" w:rsidRDefault="00C42291">
            <w:pPr>
              <w:jc w:val="center"/>
            </w:pPr>
            <w:r>
              <w:t>Postotak</w:t>
            </w:r>
          </w:p>
        </w:tc>
        <w:tc>
          <w:tcPr>
            <w:tcW w:w="918" w:type="dxa"/>
          </w:tcPr>
          <w:p w14:paraId="7DEF4F1F" w14:textId="77777777" w:rsidR="004A7FF1" w:rsidRDefault="00C42291">
            <w:pPr>
              <w:jc w:val="center"/>
            </w:pPr>
            <w:r>
              <w:t>0</w:t>
            </w:r>
          </w:p>
        </w:tc>
        <w:tc>
          <w:tcPr>
            <w:tcW w:w="918" w:type="dxa"/>
          </w:tcPr>
          <w:p w14:paraId="60BB4954" w14:textId="77777777" w:rsidR="004A7FF1" w:rsidRDefault="00C42291">
            <w:pPr>
              <w:pStyle w:val="CellColumn"/>
              <w:jc w:val="center"/>
            </w:pPr>
            <w:r>
              <w:rPr>
                <w:rFonts w:cs="Times New Roman"/>
              </w:rPr>
              <w:t>Izvješće koordinatora o provedbi projekta JAHARP2022</w:t>
            </w:r>
          </w:p>
        </w:tc>
        <w:tc>
          <w:tcPr>
            <w:tcW w:w="918" w:type="dxa"/>
          </w:tcPr>
          <w:p w14:paraId="0BF8F91B" w14:textId="77777777" w:rsidR="004A7FF1" w:rsidRDefault="00C42291">
            <w:pPr>
              <w:jc w:val="center"/>
            </w:pPr>
            <w:r>
              <w:t>100</w:t>
            </w:r>
          </w:p>
        </w:tc>
        <w:tc>
          <w:tcPr>
            <w:tcW w:w="918" w:type="dxa"/>
          </w:tcPr>
          <w:p w14:paraId="69792F43" w14:textId="77777777" w:rsidR="004A7FF1" w:rsidRDefault="00C42291">
            <w:pPr>
              <w:jc w:val="center"/>
            </w:pPr>
            <w:r>
              <w:t>100</w:t>
            </w:r>
          </w:p>
        </w:tc>
        <w:tc>
          <w:tcPr>
            <w:tcW w:w="918" w:type="dxa"/>
          </w:tcPr>
          <w:p w14:paraId="69170EDB" w14:textId="77777777" w:rsidR="004A7FF1" w:rsidRDefault="00C42291">
            <w:pPr>
              <w:jc w:val="center"/>
            </w:pPr>
            <w:r>
              <w:t>-</w:t>
            </w:r>
          </w:p>
        </w:tc>
      </w:tr>
      <w:tr w:rsidR="004A7FF1" w14:paraId="4C6134CB" w14:textId="77777777">
        <w:trPr>
          <w:jc w:val="center"/>
        </w:trPr>
        <w:tc>
          <w:tcPr>
            <w:tcW w:w="2245" w:type="dxa"/>
            <w:vAlign w:val="top"/>
          </w:tcPr>
          <w:p w14:paraId="3D964B71" w14:textId="77777777" w:rsidR="004A7FF1" w:rsidRDefault="00C42291">
            <w:pPr>
              <w:pStyle w:val="CellColumn"/>
              <w:jc w:val="left"/>
            </w:pPr>
            <w:r>
              <w:rPr>
                <w:rFonts w:cs="Times New Roman"/>
              </w:rPr>
              <w:lastRenderedPageBreak/>
              <w:t>Udio pregledanih proizvoda u planiranom broju pregledanih proizvoda (perilice rublja) s obzirom na označavanje energetske učinkovitosti i prateću dokumentacije</w:t>
            </w:r>
          </w:p>
        </w:tc>
        <w:tc>
          <w:tcPr>
            <w:tcW w:w="2245" w:type="dxa"/>
            <w:vAlign w:val="top"/>
          </w:tcPr>
          <w:p w14:paraId="49D8FF93" w14:textId="77777777" w:rsidR="004A7FF1" w:rsidRDefault="00C42291">
            <w:pPr>
              <w:pStyle w:val="CellColumn"/>
              <w:jc w:val="left"/>
            </w:pPr>
            <w:r>
              <w:rPr>
                <w:rFonts w:cs="Times New Roman"/>
              </w:rPr>
              <w:t>Provjerom ispravnosti  označavanja oznakama energetske učinkovitosti i prateće dokumentacije u okviru projekta provjerava se sukladnost proizvoda s propisanim zahtjevima kako bi se omogućilo uklanjanje s tržišta nesukladnih proizvoda i osiguralo da potrošačima na tržištu budu dostupni energetski učinkoviti proizvodi</w:t>
            </w:r>
          </w:p>
        </w:tc>
        <w:tc>
          <w:tcPr>
            <w:tcW w:w="918" w:type="dxa"/>
          </w:tcPr>
          <w:p w14:paraId="24D175DB" w14:textId="77777777" w:rsidR="004A7FF1" w:rsidRDefault="00C42291">
            <w:pPr>
              <w:jc w:val="center"/>
            </w:pPr>
            <w:r>
              <w:t>Postotak</w:t>
            </w:r>
          </w:p>
        </w:tc>
        <w:tc>
          <w:tcPr>
            <w:tcW w:w="918" w:type="dxa"/>
          </w:tcPr>
          <w:p w14:paraId="12A32907" w14:textId="77777777" w:rsidR="004A7FF1" w:rsidRDefault="00C42291">
            <w:pPr>
              <w:jc w:val="center"/>
            </w:pPr>
            <w:r>
              <w:t>0</w:t>
            </w:r>
          </w:p>
        </w:tc>
        <w:tc>
          <w:tcPr>
            <w:tcW w:w="918" w:type="dxa"/>
          </w:tcPr>
          <w:p w14:paraId="1869BC8D" w14:textId="77777777" w:rsidR="004A7FF1" w:rsidRDefault="00C42291">
            <w:pPr>
              <w:pStyle w:val="CellColumn"/>
              <w:jc w:val="center"/>
            </w:pPr>
            <w:r>
              <w:rPr>
                <w:rFonts w:cs="Times New Roman"/>
              </w:rPr>
              <w:t>Izvješće koordinatora o provedbi projekta JAHARP2022 Omnibus</w:t>
            </w:r>
          </w:p>
        </w:tc>
        <w:tc>
          <w:tcPr>
            <w:tcW w:w="918" w:type="dxa"/>
          </w:tcPr>
          <w:p w14:paraId="2B7319E2" w14:textId="77777777" w:rsidR="004A7FF1" w:rsidRDefault="00C42291">
            <w:pPr>
              <w:jc w:val="center"/>
            </w:pPr>
            <w:r>
              <w:t>100</w:t>
            </w:r>
          </w:p>
        </w:tc>
        <w:tc>
          <w:tcPr>
            <w:tcW w:w="918" w:type="dxa"/>
          </w:tcPr>
          <w:p w14:paraId="79B4B077" w14:textId="77777777" w:rsidR="004A7FF1" w:rsidRDefault="00C42291">
            <w:pPr>
              <w:jc w:val="center"/>
            </w:pPr>
            <w:r>
              <w:t>100</w:t>
            </w:r>
          </w:p>
        </w:tc>
        <w:tc>
          <w:tcPr>
            <w:tcW w:w="918" w:type="dxa"/>
          </w:tcPr>
          <w:p w14:paraId="23E2BC5E" w14:textId="77777777" w:rsidR="004A7FF1" w:rsidRDefault="00C42291">
            <w:pPr>
              <w:jc w:val="center"/>
            </w:pPr>
            <w:r>
              <w:t>0</w:t>
            </w:r>
          </w:p>
        </w:tc>
      </w:tr>
      <w:tr w:rsidR="004A7FF1" w14:paraId="296929A6" w14:textId="77777777">
        <w:trPr>
          <w:jc w:val="center"/>
        </w:trPr>
        <w:tc>
          <w:tcPr>
            <w:tcW w:w="2245" w:type="dxa"/>
            <w:vAlign w:val="top"/>
          </w:tcPr>
          <w:p w14:paraId="483336FF" w14:textId="77777777" w:rsidR="004A7FF1" w:rsidRDefault="00C42291">
            <w:pPr>
              <w:pStyle w:val="CellColumn"/>
              <w:jc w:val="left"/>
            </w:pPr>
            <w:r>
              <w:rPr>
                <w:rFonts w:cs="Times New Roman"/>
              </w:rPr>
              <w:t>Udio uzorkovanih proizvoda u planiranom broju uzoraka proizvoda (strojevi –lančane pile)</w:t>
            </w:r>
          </w:p>
        </w:tc>
        <w:tc>
          <w:tcPr>
            <w:tcW w:w="2245" w:type="dxa"/>
            <w:vAlign w:val="top"/>
          </w:tcPr>
          <w:p w14:paraId="6FD1BA03" w14:textId="77777777" w:rsidR="004A7FF1" w:rsidRDefault="00C42291">
            <w:pPr>
              <w:pStyle w:val="CellColumn"/>
              <w:jc w:val="left"/>
            </w:pPr>
            <w:r>
              <w:rPr>
                <w:rFonts w:cs="Times New Roman"/>
              </w:rPr>
              <w:t>Ispitivanjem proizvoda (strojevi –lančane pile) uzorkovanih sa tržišta u okviru projekta provjerava se njihova sukladnost s propisanim zahtjevima kako bi se omogućilo uklanjanje s tržišta nesukladnih proizvoda i osiguralo da potrošačima na tržištu budu dostupni samo sukladni proizvodi</w:t>
            </w:r>
          </w:p>
        </w:tc>
        <w:tc>
          <w:tcPr>
            <w:tcW w:w="918" w:type="dxa"/>
          </w:tcPr>
          <w:p w14:paraId="5BD9FC13" w14:textId="77777777" w:rsidR="004A7FF1" w:rsidRDefault="00C42291">
            <w:pPr>
              <w:jc w:val="center"/>
            </w:pPr>
            <w:r>
              <w:t>Postotak</w:t>
            </w:r>
          </w:p>
        </w:tc>
        <w:tc>
          <w:tcPr>
            <w:tcW w:w="918" w:type="dxa"/>
          </w:tcPr>
          <w:p w14:paraId="54A84FD3" w14:textId="77777777" w:rsidR="004A7FF1" w:rsidRDefault="00C42291">
            <w:pPr>
              <w:jc w:val="center"/>
            </w:pPr>
            <w:r>
              <w:t>0</w:t>
            </w:r>
          </w:p>
        </w:tc>
        <w:tc>
          <w:tcPr>
            <w:tcW w:w="918" w:type="dxa"/>
          </w:tcPr>
          <w:p w14:paraId="580B3335" w14:textId="77777777" w:rsidR="004A7FF1" w:rsidRDefault="00C42291">
            <w:pPr>
              <w:pStyle w:val="CellColumn"/>
              <w:jc w:val="center"/>
            </w:pPr>
            <w:r>
              <w:rPr>
                <w:rFonts w:cs="Times New Roman"/>
              </w:rPr>
              <w:t>Izvješće koordinatora o provedbi projekta JAHARP2022</w:t>
            </w:r>
          </w:p>
        </w:tc>
        <w:tc>
          <w:tcPr>
            <w:tcW w:w="918" w:type="dxa"/>
          </w:tcPr>
          <w:p w14:paraId="40B86520" w14:textId="77777777" w:rsidR="004A7FF1" w:rsidRDefault="00C42291">
            <w:pPr>
              <w:jc w:val="center"/>
            </w:pPr>
            <w:r>
              <w:t>100</w:t>
            </w:r>
          </w:p>
        </w:tc>
        <w:tc>
          <w:tcPr>
            <w:tcW w:w="918" w:type="dxa"/>
          </w:tcPr>
          <w:p w14:paraId="7D0C538A" w14:textId="77777777" w:rsidR="004A7FF1" w:rsidRDefault="00C42291">
            <w:pPr>
              <w:jc w:val="center"/>
            </w:pPr>
            <w:r>
              <w:t>100</w:t>
            </w:r>
          </w:p>
        </w:tc>
        <w:tc>
          <w:tcPr>
            <w:tcW w:w="918" w:type="dxa"/>
          </w:tcPr>
          <w:p w14:paraId="5CEDC9F2" w14:textId="77777777" w:rsidR="004A7FF1" w:rsidRDefault="00C42291">
            <w:pPr>
              <w:jc w:val="center"/>
            </w:pPr>
            <w:r>
              <w:t>0</w:t>
            </w:r>
          </w:p>
        </w:tc>
      </w:tr>
      <w:tr w:rsidR="004A7FF1" w14:paraId="44B80122" w14:textId="77777777">
        <w:trPr>
          <w:jc w:val="center"/>
        </w:trPr>
        <w:tc>
          <w:tcPr>
            <w:tcW w:w="2245" w:type="dxa"/>
            <w:vAlign w:val="top"/>
          </w:tcPr>
          <w:p w14:paraId="426F8BE3" w14:textId="77777777" w:rsidR="004A7FF1" w:rsidRDefault="00C42291">
            <w:pPr>
              <w:pStyle w:val="CellColumn"/>
              <w:jc w:val="left"/>
            </w:pPr>
            <w:r>
              <w:rPr>
                <w:rFonts w:cs="Times New Roman"/>
              </w:rPr>
              <w:t>Udio pregledanih proizvoda u planiranom broju pregledanih proizvoda (strojevi-lančane pile) s obzirom na označavanje/prateću dokumentacije</w:t>
            </w:r>
          </w:p>
        </w:tc>
        <w:tc>
          <w:tcPr>
            <w:tcW w:w="2245" w:type="dxa"/>
            <w:vAlign w:val="top"/>
          </w:tcPr>
          <w:p w14:paraId="4C566159" w14:textId="77777777" w:rsidR="004A7FF1" w:rsidRDefault="00C42291">
            <w:pPr>
              <w:pStyle w:val="CellColumn"/>
              <w:jc w:val="left"/>
            </w:pPr>
            <w:r>
              <w:rPr>
                <w:rFonts w:cs="Times New Roman"/>
              </w:rPr>
              <w:t>Provjerom ispravnosti  označavanja/prateće dokumentacije u okviru projekta provjerava se sukladnost proizvoda s propisanim zahtjevima kako bi se omogućilo uklanjanje s tržišta nesukladnih proizvoda i osiguralo da potrošačima na tržištu budu dostupni sukladni proizvodi</w:t>
            </w:r>
          </w:p>
        </w:tc>
        <w:tc>
          <w:tcPr>
            <w:tcW w:w="918" w:type="dxa"/>
          </w:tcPr>
          <w:p w14:paraId="28E18407" w14:textId="77777777" w:rsidR="004A7FF1" w:rsidRDefault="00C42291">
            <w:pPr>
              <w:jc w:val="center"/>
            </w:pPr>
            <w:r>
              <w:t>Postotak</w:t>
            </w:r>
          </w:p>
        </w:tc>
        <w:tc>
          <w:tcPr>
            <w:tcW w:w="918" w:type="dxa"/>
          </w:tcPr>
          <w:p w14:paraId="6E92BB36" w14:textId="77777777" w:rsidR="004A7FF1" w:rsidRDefault="00C42291">
            <w:pPr>
              <w:jc w:val="center"/>
            </w:pPr>
            <w:r>
              <w:t>0</w:t>
            </w:r>
          </w:p>
        </w:tc>
        <w:tc>
          <w:tcPr>
            <w:tcW w:w="918" w:type="dxa"/>
          </w:tcPr>
          <w:p w14:paraId="0E24E914" w14:textId="77777777" w:rsidR="004A7FF1" w:rsidRDefault="00C42291">
            <w:pPr>
              <w:pStyle w:val="CellColumn"/>
              <w:jc w:val="center"/>
            </w:pPr>
            <w:r>
              <w:rPr>
                <w:rFonts w:cs="Times New Roman"/>
              </w:rPr>
              <w:t>Izvješće koordinatora o provedbi projekta JAHARP2022</w:t>
            </w:r>
          </w:p>
        </w:tc>
        <w:tc>
          <w:tcPr>
            <w:tcW w:w="918" w:type="dxa"/>
          </w:tcPr>
          <w:p w14:paraId="390E4B74" w14:textId="77777777" w:rsidR="004A7FF1" w:rsidRDefault="00C42291">
            <w:pPr>
              <w:jc w:val="center"/>
            </w:pPr>
            <w:r>
              <w:t>100</w:t>
            </w:r>
          </w:p>
        </w:tc>
        <w:tc>
          <w:tcPr>
            <w:tcW w:w="918" w:type="dxa"/>
          </w:tcPr>
          <w:p w14:paraId="74717AE7" w14:textId="77777777" w:rsidR="004A7FF1" w:rsidRDefault="00C42291">
            <w:pPr>
              <w:jc w:val="center"/>
            </w:pPr>
            <w:r>
              <w:t>100</w:t>
            </w:r>
          </w:p>
        </w:tc>
        <w:tc>
          <w:tcPr>
            <w:tcW w:w="918" w:type="dxa"/>
          </w:tcPr>
          <w:p w14:paraId="4084E0FC" w14:textId="77777777" w:rsidR="004A7FF1" w:rsidRDefault="00C42291">
            <w:pPr>
              <w:jc w:val="center"/>
            </w:pPr>
            <w:r>
              <w:t>0</w:t>
            </w:r>
          </w:p>
        </w:tc>
      </w:tr>
    </w:tbl>
    <w:p w14:paraId="62104A2B" w14:textId="77777777" w:rsidR="004A7FF1" w:rsidRDefault="004A7FF1">
      <w:pPr>
        <w:jc w:val="left"/>
      </w:pPr>
    </w:p>
    <w:p w14:paraId="25FA4524" w14:textId="77777777" w:rsidR="004A7FF1" w:rsidRDefault="00C42291">
      <w:pPr>
        <w:pStyle w:val="Naslov4"/>
      </w:pPr>
      <w:r>
        <w:t>A673014 NADZOR GRAĐENJA</w:t>
      </w:r>
    </w:p>
    <w:p w14:paraId="0D3B30AD" w14:textId="77777777" w:rsidR="004A7FF1" w:rsidRDefault="00C42291">
      <w:pPr>
        <w:pStyle w:val="Naslov8"/>
        <w:jc w:val="left"/>
      </w:pPr>
      <w:r>
        <w:t>Zakonske i druge pravne osnove</w:t>
      </w:r>
    </w:p>
    <w:p w14:paraId="32C711F9" w14:textId="77777777" w:rsidR="004A7FF1" w:rsidRDefault="00C42291">
      <w:r>
        <w:t xml:space="preserve">-Zakon o državnom inspektoratu - članci 25.; 100. do 122.; Zakon o gradnji (sa svim tehničkim propisima i podzakonskim aktima donesenim na temelju tog Zakona) - članci 128.; 131. st.6; 156. st.4 i 160.;  </w:t>
      </w:r>
    </w:p>
    <w:p w14:paraId="1A094EFB" w14:textId="77777777" w:rsidR="004A7FF1" w:rsidRDefault="00C42291">
      <w:r>
        <w:t xml:space="preserve">-Zakon o građevnim proizvodima.- članak 58. st.2.;  </w:t>
      </w:r>
    </w:p>
    <w:p w14:paraId="7227BEA2" w14:textId="77777777" w:rsidR="004A7FF1" w:rsidRDefault="00C42291">
      <w:r>
        <w:t xml:space="preserve">-Zakon o postupanju s nezakonito izgrađenim zgradama - članak 42.;  </w:t>
      </w:r>
    </w:p>
    <w:p w14:paraId="79C949AE" w14:textId="77777777" w:rsidR="004A7FF1" w:rsidRDefault="00C42291">
      <w:r>
        <w:t xml:space="preserve">-Pravilnik o jednostavnim i drugim građevinama i radovima - članci 1.; 4.; 5.; 5a. i 6.;  </w:t>
      </w:r>
    </w:p>
    <w:p w14:paraId="3A1C89BA" w14:textId="77777777" w:rsidR="004A7FF1" w:rsidRDefault="00C42291">
      <w:r>
        <w:t xml:space="preserve">-Naputak o načinu rada građevinske inspekcije;  </w:t>
      </w:r>
    </w:p>
    <w:p w14:paraId="73DC859A" w14:textId="77777777" w:rsidR="004A7FF1" w:rsidRDefault="00C42291">
      <w:r>
        <w:t xml:space="preserve">-Naputak o načinu pečaćenja kada se rješenje inspektora Državnog inspektorata izvršava pečaćenjem i o načinu zatvaranja i označivanja zatvorenog gradilišta - članci 11.-17.;  </w:t>
      </w:r>
    </w:p>
    <w:p w14:paraId="6DFE4766" w14:textId="77777777" w:rsidR="004A7FF1" w:rsidRDefault="00C42291">
      <w:r>
        <w:t xml:space="preserve">-Uredba o određivanju građevina, drugih zahvata u prostoru i površina državnog i područnog (regionalnog) značaja </w:t>
      </w:r>
    </w:p>
    <w:p w14:paraId="4F0607F8" w14:textId="77777777" w:rsidR="004A7FF1" w:rsidRDefault="00C42291">
      <w:r>
        <w:t xml:space="preserve">-Pravilnik o načinu označavanja građevine opasnom </w:t>
      </w:r>
    </w:p>
    <w:p w14:paraId="356C8EEF" w14:textId="77777777" w:rsidR="004A7FF1" w:rsidRDefault="00C42291">
      <w:r>
        <w:lastRenderedPageBreak/>
        <w:t>-Uklanjanje uništenih zgrada –pravne osnove: Zakon o državnom inspektoratu, članak 113.a; Zakon o obnovi zgrada oštećenih potresom na području Grada Zagreba, Krapinsko-zagorske županije, Zagrebačke županije, Sisačko-moslavačke županije i Karlovačke županije - članak 38., Zakon o javnoj nabavi</w:t>
      </w:r>
    </w:p>
    <w:tbl>
      <w:tblPr>
        <w:tblStyle w:val="StilTablice"/>
        <w:tblW w:w="10206" w:type="dxa"/>
        <w:jc w:val="center"/>
        <w:tblLook w:val="04A0" w:firstRow="1" w:lastRow="0" w:firstColumn="1" w:lastColumn="0" w:noHBand="0" w:noVBand="1"/>
      </w:tblPr>
      <w:tblGrid>
        <w:gridCol w:w="1461"/>
        <w:gridCol w:w="1555"/>
        <w:gridCol w:w="1555"/>
        <w:gridCol w:w="1555"/>
        <w:gridCol w:w="1555"/>
        <w:gridCol w:w="1555"/>
        <w:gridCol w:w="970"/>
      </w:tblGrid>
      <w:tr w:rsidR="004A7FF1" w14:paraId="420150BC" w14:textId="77777777">
        <w:trPr>
          <w:jc w:val="center"/>
        </w:trPr>
        <w:tc>
          <w:tcPr>
            <w:tcW w:w="1530" w:type="dxa"/>
            <w:shd w:val="clear" w:color="auto" w:fill="B5C0D8"/>
          </w:tcPr>
          <w:p w14:paraId="20B43880" w14:textId="77777777" w:rsidR="004A7FF1" w:rsidRDefault="00C42291">
            <w:pPr>
              <w:pStyle w:val="CellHeader"/>
              <w:jc w:val="center"/>
            </w:pPr>
            <w:r>
              <w:rPr>
                <w:rFonts w:cs="Times New Roman"/>
              </w:rPr>
              <w:t>Naziv aktivnosti</w:t>
            </w:r>
          </w:p>
        </w:tc>
        <w:tc>
          <w:tcPr>
            <w:tcW w:w="1632" w:type="dxa"/>
            <w:shd w:val="clear" w:color="auto" w:fill="B5C0D8"/>
          </w:tcPr>
          <w:p w14:paraId="3CE83987" w14:textId="77777777" w:rsidR="004A7FF1" w:rsidRDefault="00C42291">
            <w:pPr>
              <w:pStyle w:val="CellHeader"/>
              <w:jc w:val="center"/>
            </w:pPr>
            <w:r>
              <w:rPr>
                <w:rFonts w:cs="Times New Roman"/>
              </w:rPr>
              <w:t>Izvršenje 2022.</w:t>
            </w:r>
          </w:p>
        </w:tc>
        <w:tc>
          <w:tcPr>
            <w:tcW w:w="1632" w:type="dxa"/>
            <w:shd w:val="clear" w:color="auto" w:fill="B5C0D8"/>
          </w:tcPr>
          <w:p w14:paraId="33F3BE45" w14:textId="77777777" w:rsidR="004A7FF1" w:rsidRDefault="00C42291">
            <w:pPr>
              <w:pStyle w:val="CellHeader"/>
              <w:jc w:val="center"/>
            </w:pPr>
            <w:r>
              <w:rPr>
                <w:rFonts w:cs="Times New Roman"/>
              </w:rPr>
              <w:t>Plan 2023.</w:t>
            </w:r>
          </w:p>
        </w:tc>
        <w:tc>
          <w:tcPr>
            <w:tcW w:w="1632" w:type="dxa"/>
            <w:shd w:val="clear" w:color="auto" w:fill="B5C0D8"/>
          </w:tcPr>
          <w:p w14:paraId="28D728D2" w14:textId="77777777" w:rsidR="004A7FF1" w:rsidRDefault="00C42291">
            <w:pPr>
              <w:pStyle w:val="CellHeader"/>
              <w:jc w:val="center"/>
            </w:pPr>
            <w:r>
              <w:rPr>
                <w:rFonts w:cs="Times New Roman"/>
              </w:rPr>
              <w:t>Plan 2024.</w:t>
            </w:r>
          </w:p>
        </w:tc>
        <w:tc>
          <w:tcPr>
            <w:tcW w:w="1632" w:type="dxa"/>
            <w:shd w:val="clear" w:color="auto" w:fill="B5C0D8"/>
          </w:tcPr>
          <w:p w14:paraId="6145CC44" w14:textId="77777777" w:rsidR="004A7FF1" w:rsidRDefault="00C42291">
            <w:pPr>
              <w:pStyle w:val="CellHeader"/>
              <w:jc w:val="center"/>
            </w:pPr>
            <w:r>
              <w:rPr>
                <w:rFonts w:cs="Times New Roman"/>
              </w:rPr>
              <w:t>Plan 2025.</w:t>
            </w:r>
          </w:p>
        </w:tc>
        <w:tc>
          <w:tcPr>
            <w:tcW w:w="1632" w:type="dxa"/>
            <w:shd w:val="clear" w:color="auto" w:fill="B5C0D8"/>
          </w:tcPr>
          <w:p w14:paraId="4DBA2D96" w14:textId="77777777" w:rsidR="004A7FF1" w:rsidRDefault="00C42291">
            <w:pPr>
              <w:pStyle w:val="CellHeader"/>
              <w:jc w:val="center"/>
            </w:pPr>
            <w:r>
              <w:rPr>
                <w:rFonts w:cs="Times New Roman"/>
              </w:rPr>
              <w:t>Plan 2026.</w:t>
            </w:r>
          </w:p>
        </w:tc>
        <w:tc>
          <w:tcPr>
            <w:tcW w:w="510" w:type="dxa"/>
            <w:shd w:val="clear" w:color="auto" w:fill="B5C0D8"/>
          </w:tcPr>
          <w:p w14:paraId="7A73A802" w14:textId="77777777" w:rsidR="004A7FF1" w:rsidRDefault="00C42291">
            <w:pPr>
              <w:pStyle w:val="CellHeader"/>
              <w:jc w:val="center"/>
            </w:pPr>
            <w:r>
              <w:rPr>
                <w:rFonts w:cs="Times New Roman"/>
              </w:rPr>
              <w:t>Indeks 2024/2023</w:t>
            </w:r>
          </w:p>
        </w:tc>
      </w:tr>
      <w:tr w:rsidR="004A7FF1" w14:paraId="61BD328F" w14:textId="77777777">
        <w:trPr>
          <w:jc w:val="center"/>
        </w:trPr>
        <w:tc>
          <w:tcPr>
            <w:tcW w:w="1530" w:type="dxa"/>
            <w:vAlign w:val="top"/>
          </w:tcPr>
          <w:p w14:paraId="47830773" w14:textId="77777777" w:rsidR="004A7FF1" w:rsidRDefault="00C42291">
            <w:pPr>
              <w:pStyle w:val="CellColumn"/>
              <w:jc w:val="left"/>
            </w:pPr>
            <w:r>
              <w:rPr>
                <w:rFonts w:cs="Times New Roman"/>
              </w:rPr>
              <w:t>A673014</w:t>
            </w:r>
          </w:p>
        </w:tc>
        <w:tc>
          <w:tcPr>
            <w:tcW w:w="1632" w:type="dxa"/>
            <w:vAlign w:val="top"/>
          </w:tcPr>
          <w:p w14:paraId="08C1A7BD" w14:textId="77777777" w:rsidR="004A7FF1" w:rsidRDefault="00C42291">
            <w:pPr>
              <w:jc w:val="right"/>
            </w:pPr>
            <w:r>
              <w:t>3.220.958</w:t>
            </w:r>
          </w:p>
        </w:tc>
        <w:tc>
          <w:tcPr>
            <w:tcW w:w="1632" w:type="dxa"/>
            <w:vAlign w:val="top"/>
          </w:tcPr>
          <w:p w14:paraId="084CB2CA" w14:textId="77777777" w:rsidR="004A7FF1" w:rsidRDefault="00C42291">
            <w:pPr>
              <w:jc w:val="right"/>
            </w:pPr>
            <w:r>
              <w:t>5.725.381</w:t>
            </w:r>
          </w:p>
        </w:tc>
        <w:tc>
          <w:tcPr>
            <w:tcW w:w="1632" w:type="dxa"/>
            <w:vAlign w:val="top"/>
          </w:tcPr>
          <w:p w14:paraId="01739A8C" w14:textId="77777777" w:rsidR="004A7FF1" w:rsidRDefault="00C42291">
            <w:pPr>
              <w:jc w:val="right"/>
            </w:pPr>
            <w:r>
              <w:t>3.026.450</w:t>
            </w:r>
          </w:p>
        </w:tc>
        <w:tc>
          <w:tcPr>
            <w:tcW w:w="1632" w:type="dxa"/>
            <w:vAlign w:val="top"/>
          </w:tcPr>
          <w:p w14:paraId="4AFC91F3" w14:textId="77777777" w:rsidR="004A7FF1" w:rsidRDefault="00C42291">
            <w:pPr>
              <w:jc w:val="right"/>
            </w:pPr>
            <w:r>
              <w:t>3.026.450</w:t>
            </w:r>
          </w:p>
        </w:tc>
        <w:tc>
          <w:tcPr>
            <w:tcW w:w="1632" w:type="dxa"/>
            <w:vAlign w:val="top"/>
          </w:tcPr>
          <w:p w14:paraId="5677EDBF" w14:textId="77777777" w:rsidR="004A7FF1" w:rsidRDefault="00C42291">
            <w:pPr>
              <w:jc w:val="right"/>
            </w:pPr>
            <w:r>
              <w:t>3.026.450</w:t>
            </w:r>
          </w:p>
        </w:tc>
        <w:tc>
          <w:tcPr>
            <w:tcW w:w="510" w:type="dxa"/>
            <w:vAlign w:val="top"/>
          </w:tcPr>
          <w:p w14:paraId="51E88EDA" w14:textId="77777777" w:rsidR="004A7FF1" w:rsidRDefault="00C42291">
            <w:pPr>
              <w:jc w:val="right"/>
            </w:pPr>
            <w:r>
              <w:t>52,9</w:t>
            </w:r>
          </w:p>
        </w:tc>
      </w:tr>
    </w:tbl>
    <w:p w14:paraId="32499156" w14:textId="77777777" w:rsidR="004A7FF1" w:rsidRDefault="004A7FF1">
      <w:pPr>
        <w:jc w:val="left"/>
      </w:pPr>
    </w:p>
    <w:p w14:paraId="4B594D9C" w14:textId="77777777" w:rsidR="004A7FF1" w:rsidRDefault="00C42291">
      <w:r>
        <w:t xml:space="preserve">Sredstva planirana za aktivnost nadzora zakonitosti građenja i drugih poslova građevinske inspekcije vezana su za ostvarenje jedne od mjera Provedbenog programa Državnog inspektorata: „Suzbijanje nezakonitog građenja i unaprjeđenje zakonitosti građenja“. Ovom aktivnosti osiguravaju se sredstva za obavljanje planiranih poslova i poduzimanje mjera protiv sudionika u gradnji koji krše propise o gradnji, u svrhu uspostave reda u prostoru i zaštite najvrjednijih područja Republike Hrvatske od devastacije.  </w:t>
      </w:r>
    </w:p>
    <w:p w14:paraId="3C032A72" w14:textId="77777777" w:rsidR="004A7FF1" w:rsidRDefault="00C42291">
      <w:r>
        <w:t xml:space="preserve"> </w:t>
      </w:r>
    </w:p>
    <w:p w14:paraId="608029E9" w14:textId="77777777" w:rsidR="004A7FF1" w:rsidRDefault="00C42291">
      <w:r>
        <w:t xml:space="preserve">Sredstva se osiguravaju i za nadzore i provedbu izvršenje rješenja o uklanjanja uništenih zgrada čiji ostaci neposredno prijete sigurnosti, zdravlju ljudi i drugim zgradama ili stabilnosti tla na okolnom zemljištu, koja opasnost je nastala kao posljedica prirodnih katastrofa (potresi, poplave i dr.), sukladno članku 113. a. Zakona o Državnom inspektoratu.  </w:t>
      </w:r>
    </w:p>
    <w:p w14:paraId="2FD4A8F6" w14:textId="77777777" w:rsidR="004A7FF1" w:rsidRDefault="00C42291">
      <w:r>
        <w:t xml:space="preserve">Poslove građevinske inspekcije obavljaju inspektori raspoređeni u sjedištu Inspektorata u Zagrebu koji su ovlašteni obavljati zahtjevnije nadzore građenja na cijelom području Republike Hrvatske, uključujući nadzor građevina državnog značaja (auto-ceste i državne ceste, naftovodi, aerodromi i sl.) te inspektori pet Područnih ureda Inspektorata koji su mjesno nadležni na područjima županija i Grada Zagreba. U razdoblju od 2024. do 2026. godine ključne točke provedbe postavljenog cilja građevinske inspekcije usmjerene su na povećanje prisutnosti inspektora „na terenu“ radi pravovremenog poduzimanja mjera tijekom građenja na aktivnim gradilištima i/ili obavljanja kontrolnih nadzora radi prisiljavanja na izvršenje već donesenih inspekcijskih rješenja.  </w:t>
      </w:r>
    </w:p>
    <w:p w14:paraId="0C62ACA1" w14:textId="77777777" w:rsidR="004A7FF1" w:rsidRDefault="00C42291">
      <w:r>
        <w:t xml:space="preserve"> </w:t>
      </w:r>
    </w:p>
    <w:p w14:paraId="40854600" w14:textId="77777777" w:rsidR="004A7FF1" w:rsidRDefault="00C42291">
      <w:r>
        <w:t xml:space="preserve">Sredstva ove aktivnosti potrebno je osigurati za provedbu postupaka prisilnog uklanjanja (rušenja) nezakonitih građevina te za uklanjanje zgrada čiji ostaci neposredno prijete sigurnosti, zdravlju ljudi i drugim zgradama ili stabilnosti tla na okolnom zemljištu, koja opasnost je nastala kao posljedica prirodnih katastrofa (potresi, poplave i dr.), sukladno članku 113. a. Zakona o Državnom inspektoratu.  </w:t>
      </w:r>
    </w:p>
    <w:p w14:paraId="53DB399A" w14:textId="77777777" w:rsidR="004A7FF1" w:rsidRDefault="00C42291">
      <w:r>
        <w:t xml:space="preserve">Troškovi uklanjanja uništenih zgrada, uključujući troškove zbrinjavanja i obrade građevinskog otpada, namiruju se iz državnog proračuna. Troškovi uklanjanja nezakonitih građevina osiguravaju se u proračunu sve do naplate od izvršenika. </w:t>
      </w:r>
    </w:p>
    <w:p w14:paraId="1C3DAD5A" w14:textId="77777777" w:rsidR="004A7FF1" w:rsidRDefault="00C42291">
      <w:r>
        <w:t xml:space="preserve"> </w:t>
      </w:r>
    </w:p>
    <w:p w14:paraId="05301876" w14:textId="77777777" w:rsidR="004A7FF1" w:rsidRDefault="00C42291">
      <w:r>
        <w:t xml:space="preserve">Prisilna uklanjanja nezakonitih građevina prioritetno se provode u zaštićenim i izvan-građevinskim područjima te se iz prostora uglavnom uklanjaju građevine koje prema propisima o gradnji i prostornom uređenju ne mogu ostati u prostoru jer nemaju uvjete za ozakonjene po posebnom zakonu niti uvjete za ishođenje građevinske dozvole. Iako je propisano da troškove uklanjanja snosi investitor odnosno izvršenik, činjenica je da je postupak naplate od izvršenika dugotrajan. Mnogi nezakoniti graditelji započnu sami uklanjati građevine (na što imaju pravo) tek kada se uvjere da je građevinska inspekcija sa izvođačem došla „na teren“ s mehanizacijom. Zbog navedenog, dio sredstava osiguranih u proračunu se ne potroši, ali se mora osigurati jer se ne može unaprijed procijeniti koliko će investitora sami započeti uklanjanje. Međutim, građevinska inspekcija mora i u tim slučajevima provoditi cjelokupni prethodni postupak (troškovnici, planiranje načina uklanjanja i potrebne mehanizacije u odnosu na vrstu građevine, postupci javne nabave i dr.) te mora pratiti tijek uklanjanja, što predstavlja trošak državnog proračuna. Isto tako, u slučajevima kada se građevina ukloni putem građevinske inspekcije, skoro svi investitori pokreću sudske sporove (parnice) velike vrijednosti zbog naknade štete i troškova uklanjanja, kojima pokušavaju dokazati neopravdanost rušenja. Iako se parnice okončaju povoljno za državu (99%), potrebno je osigurati dio sredstava jer postoji mogućnost da sud presudi u korist izvršenika. </w:t>
      </w:r>
    </w:p>
    <w:p w14:paraId="21271447" w14:textId="77777777" w:rsidR="004A7FF1" w:rsidRDefault="00C42291">
      <w:r>
        <w:t xml:space="preserve"> </w:t>
      </w:r>
    </w:p>
    <w:p w14:paraId="73419E1D" w14:textId="77777777" w:rsidR="004A7FF1" w:rsidRDefault="00C42291">
      <w:r>
        <w:t xml:space="preserve">Kao primjer pokazatelja rezultata i učinka rada građevinske inspekcije može se navesti primjer investitora koji pojačano sami uklanjaju nezakonite građevine nakon što im inspektori započnu izricati novčane kazne, jer nisu postupili po naredbi inspektora u zadanom roku. Člankom 114. Zakona o državnom inspektoratu određeno je da će se izvršenika prisiljavati na izvršenje rješenja izricanjem ukupno tri novčane kazne, a u slučaju da ne uplate izrečenu </w:t>
      </w:r>
      <w:r>
        <w:lastRenderedPageBreak/>
        <w:t>kaznu, inspekcija pokreće postupak ovrhe koje provodi Državno odvjetništvo i FINA, koja sredstva se uplaćuju u Državni proračun.</w:t>
      </w:r>
    </w:p>
    <w:p w14:paraId="375BB2D3" w14:textId="77777777" w:rsidR="004A7FF1" w:rsidRDefault="00C42291">
      <w:pPr>
        <w:pStyle w:val="Naslov8"/>
        <w:jc w:val="left"/>
      </w:pPr>
      <w:r>
        <w:t>Pokazatelji rezultata</w:t>
      </w:r>
    </w:p>
    <w:tbl>
      <w:tblPr>
        <w:tblStyle w:val="StilTablice"/>
        <w:tblW w:w="10206" w:type="dxa"/>
        <w:jc w:val="center"/>
        <w:tblLook w:val="04A0" w:firstRow="1" w:lastRow="0" w:firstColumn="1" w:lastColumn="0" w:noHBand="0" w:noVBand="1"/>
      </w:tblPr>
      <w:tblGrid>
        <w:gridCol w:w="2292"/>
        <w:gridCol w:w="2292"/>
        <w:gridCol w:w="937"/>
        <w:gridCol w:w="937"/>
        <w:gridCol w:w="937"/>
        <w:gridCol w:w="937"/>
        <w:gridCol w:w="937"/>
        <w:gridCol w:w="937"/>
      </w:tblGrid>
      <w:tr w:rsidR="004A7FF1" w14:paraId="3E85AF5F" w14:textId="77777777">
        <w:trPr>
          <w:jc w:val="center"/>
        </w:trPr>
        <w:tc>
          <w:tcPr>
            <w:tcW w:w="2245" w:type="dxa"/>
            <w:shd w:val="clear" w:color="auto" w:fill="B5C0D8"/>
          </w:tcPr>
          <w:p w14:paraId="53E81EE5" w14:textId="77777777" w:rsidR="004A7FF1" w:rsidRDefault="00C42291">
            <w:pPr>
              <w:jc w:val="center"/>
            </w:pPr>
            <w:r>
              <w:t>Pokazatelj rezultata</w:t>
            </w:r>
          </w:p>
        </w:tc>
        <w:tc>
          <w:tcPr>
            <w:tcW w:w="2245" w:type="dxa"/>
            <w:shd w:val="clear" w:color="auto" w:fill="B5C0D8"/>
          </w:tcPr>
          <w:p w14:paraId="0AF613A8" w14:textId="77777777" w:rsidR="004A7FF1" w:rsidRDefault="00C42291">
            <w:pPr>
              <w:pStyle w:val="CellHeader"/>
              <w:jc w:val="center"/>
            </w:pPr>
            <w:r>
              <w:rPr>
                <w:rFonts w:cs="Times New Roman"/>
              </w:rPr>
              <w:t>Definicija</w:t>
            </w:r>
          </w:p>
        </w:tc>
        <w:tc>
          <w:tcPr>
            <w:tcW w:w="918" w:type="dxa"/>
            <w:shd w:val="clear" w:color="auto" w:fill="B5C0D8"/>
          </w:tcPr>
          <w:p w14:paraId="1D5CCD0E" w14:textId="77777777" w:rsidR="004A7FF1" w:rsidRDefault="00C42291">
            <w:pPr>
              <w:pStyle w:val="CellHeader"/>
              <w:jc w:val="center"/>
            </w:pPr>
            <w:r>
              <w:rPr>
                <w:rFonts w:cs="Times New Roman"/>
              </w:rPr>
              <w:t>Jedinica</w:t>
            </w:r>
          </w:p>
        </w:tc>
        <w:tc>
          <w:tcPr>
            <w:tcW w:w="918" w:type="dxa"/>
            <w:shd w:val="clear" w:color="auto" w:fill="B5C0D8"/>
          </w:tcPr>
          <w:p w14:paraId="0C334E55" w14:textId="77777777" w:rsidR="004A7FF1" w:rsidRDefault="00C42291">
            <w:pPr>
              <w:pStyle w:val="CellHeader"/>
              <w:jc w:val="center"/>
            </w:pPr>
            <w:r>
              <w:rPr>
                <w:rFonts w:cs="Times New Roman"/>
              </w:rPr>
              <w:t>Polazna vrijednost</w:t>
            </w:r>
          </w:p>
        </w:tc>
        <w:tc>
          <w:tcPr>
            <w:tcW w:w="918" w:type="dxa"/>
            <w:shd w:val="clear" w:color="auto" w:fill="B5C0D8"/>
          </w:tcPr>
          <w:p w14:paraId="2750C7DB" w14:textId="77777777" w:rsidR="004A7FF1" w:rsidRDefault="00C42291">
            <w:pPr>
              <w:pStyle w:val="CellHeader"/>
              <w:jc w:val="center"/>
            </w:pPr>
            <w:r>
              <w:rPr>
                <w:rFonts w:cs="Times New Roman"/>
              </w:rPr>
              <w:t>Izvor podataka</w:t>
            </w:r>
          </w:p>
        </w:tc>
        <w:tc>
          <w:tcPr>
            <w:tcW w:w="918" w:type="dxa"/>
            <w:shd w:val="clear" w:color="auto" w:fill="B5C0D8"/>
          </w:tcPr>
          <w:p w14:paraId="610FE024" w14:textId="77777777" w:rsidR="004A7FF1" w:rsidRDefault="00C42291">
            <w:pPr>
              <w:pStyle w:val="CellHeader"/>
              <w:jc w:val="center"/>
            </w:pPr>
            <w:r>
              <w:rPr>
                <w:rFonts w:cs="Times New Roman"/>
              </w:rPr>
              <w:t>Ciljana vrijednost (2024.)</w:t>
            </w:r>
          </w:p>
        </w:tc>
        <w:tc>
          <w:tcPr>
            <w:tcW w:w="918" w:type="dxa"/>
            <w:shd w:val="clear" w:color="auto" w:fill="B5C0D8"/>
          </w:tcPr>
          <w:p w14:paraId="3916BF23" w14:textId="77777777" w:rsidR="004A7FF1" w:rsidRDefault="00C42291">
            <w:pPr>
              <w:pStyle w:val="CellHeader"/>
              <w:jc w:val="center"/>
            </w:pPr>
            <w:r>
              <w:rPr>
                <w:rFonts w:cs="Times New Roman"/>
              </w:rPr>
              <w:t>Ciljana vrijednost (2025.)</w:t>
            </w:r>
          </w:p>
        </w:tc>
        <w:tc>
          <w:tcPr>
            <w:tcW w:w="918" w:type="dxa"/>
            <w:shd w:val="clear" w:color="auto" w:fill="B5C0D8"/>
          </w:tcPr>
          <w:p w14:paraId="38AF776F" w14:textId="77777777" w:rsidR="004A7FF1" w:rsidRDefault="00C42291">
            <w:pPr>
              <w:pStyle w:val="CellHeader"/>
              <w:jc w:val="center"/>
            </w:pPr>
            <w:r>
              <w:rPr>
                <w:rFonts w:cs="Times New Roman"/>
              </w:rPr>
              <w:t>Ciljana vrijednost (2026.)</w:t>
            </w:r>
          </w:p>
        </w:tc>
      </w:tr>
      <w:tr w:rsidR="004A7FF1" w14:paraId="212CA2BE" w14:textId="77777777">
        <w:trPr>
          <w:jc w:val="center"/>
        </w:trPr>
        <w:tc>
          <w:tcPr>
            <w:tcW w:w="2245" w:type="dxa"/>
            <w:vAlign w:val="top"/>
          </w:tcPr>
          <w:p w14:paraId="29A5A562" w14:textId="77777777" w:rsidR="004A7FF1" w:rsidRDefault="00C42291">
            <w:pPr>
              <w:pStyle w:val="CellColumn"/>
              <w:jc w:val="left"/>
            </w:pPr>
            <w:r>
              <w:rPr>
                <w:rFonts w:cs="Times New Roman"/>
              </w:rPr>
              <w:t>Povećanje ukupnog broja provedenih inspekcijskih nadzora</w:t>
            </w:r>
          </w:p>
        </w:tc>
        <w:tc>
          <w:tcPr>
            <w:tcW w:w="2245" w:type="dxa"/>
            <w:vAlign w:val="top"/>
          </w:tcPr>
          <w:p w14:paraId="52C65A38" w14:textId="77777777" w:rsidR="004A7FF1" w:rsidRDefault="00C42291">
            <w:pPr>
              <w:pStyle w:val="CellColumn"/>
              <w:jc w:val="left"/>
            </w:pPr>
            <w:r>
              <w:rPr>
                <w:rFonts w:cs="Times New Roman"/>
              </w:rPr>
              <w:t>Povećanjem ukupnog broja nadzora osigurava se prisutnost građevinske inspekcije na aktivnim gradilištima, čime se utječe na poboljšanje daljnjeg postupanja sudionika u gradnji.</w:t>
            </w:r>
          </w:p>
        </w:tc>
        <w:tc>
          <w:tcPr>
            <w:tcW w:w="918" w:type="dxa"/>
          </w:tcPr>
          <w:p w14:paraId="1E800A56" w14:textId="77777777" w:rsidR="004A7FF1" w:rsidRDefault="00C42291">
            <w:pPr>
              <w:jc w:val="center"/>
            </w:pPr>
            <w:r>
              <w:t>Broj</w:t>
            </w:r>
          </w:p>
        </w:tc>
        <w:tc>
          <w:tcPr>
            <w:tcW w:w="918" w:type="dxa"/>
          </w:tcPr>
          <w:p w14:paraId="31193F9D" w14:textId="77777777" w:rsidR="004A7FF1" w:rsidRDefault="00C42291">
            <w:pPr>
              <w:jc w:val="center"/>
            </w:pPr>
            <w:r>
              <w:t>7069 (2022.)</w:t>
            </w:r>
          </w:p>
        </w:tc>
        <w:tc>
          <w:tcPr>
            <w:tcW w:w="918" w:type="dxa"/>
          </w:tcPr>
          <w:p w14:paraId="30AA309E" w14:textId="77777777" w:rsidR="004A7FF1" w:rsidRDefault="00C42291">
            <w:pPr>
              <w:pStyle w:val="CellColumn"/>
              <w:jc w:val="center"/>
            </w:pPr>
            <w:r>
              <w:rPr>
                <w:rFonts w:cs="Times New Roman"/>
              </w:rPr>
              <w:t>DIRH</w:t>
            </w:r>
          </w:p>
        </w:tc>
        <w:tc>
          <w:tcPr>
            <w:tcW w:w="918" w:type="dxa"/>
          </w:tcPr>
          <w:p w14:paraId="0C17FB49" w14:textId="77777777" w:rsidR="004A7FF1" w:rsidRDefault="00C42291">
            <w:pPr>
              <w:jc w:val="center"/>
            </w:pPr>
            <w:r>
              <w:t>7200</w:t>
            </w:r>
          </w:p>
        </w:tc>
        <w:tc>
          <w:tcPr>
            <w:tcW w:w="918" w:type="dxa"/>
          </w:tcPr>
          <w:p w14:paraId="0F0FE9DA" w14:textId="77777777" w:rsidR="004A7FF1" w:rsidRDefault="00C42291">
            <w:pPr>
              <w:jc w:val="center"/>
            </w:pPr>
            <w:r>
              <w:t>7300</w:t>
            </w:r>
          </w:p>
        </w:tc>
        <w:tc>
          <w:tcPr>
            <w:tcW w:w="918" w:type="dxa"/>
          </w:tcPr>
          <w:p w14:paraId="708B0ADD" w14:textId="77777777" w:rsidR="004A7FF1" w:rsidRDefault="00C42291">
            <w:pPr>
              <w:jc w:val="center"/>
            </w:pPr>
            <w:r>
              <w:t>7400</w:t>
            </w:r>
          </w:p>
        </w:tc>
      </w:tr>
      <w:tr w:rsidR="004A7FF1" w14:paraId="48A5967A" w14:textId="77777777">
        <w:trPr>
          <w:jc w:val="center"/>
        </w:trPr>
        <w:tc>
          <w:tcPr>
            <w:tcW w:w="2245" w:type="dxa"/>
            <w:vAlign w:val="top"/>
          </w:tcPr>
          <w:p w14:paraId="486C2093" w14:textId="77777777" w:rsidR="004A7FF1" w:rsidRDefault="00C42291">
            <w:pPr>
              <w:pStyle w:val="CellColumn"/>
              <w:jc w:val="left"/>
            </w:pPr>
            <w:r>
              <w:rPr>
                <w:rFonts w:cs="Times New Roman"/>
              </w:rPr>
              <w:t>Što veći broj nezakonitih građevina uklonjenih iz prostora i/ili usklađenih s propisima nakon poduzimanja mjera građevinske inspekcije.</w:t>
            </w:r>
          </w:p>
        </w:tc>
        <w:tc>
          <w:tcPr>
            <w:tcW w:w="2245" w:type="dxa"/>
            <w:vAlign w:val="top"/>
          </w:tcPr>
          <w:p w14:paraId="772A812A" w14:textId="77777777" w:rsidR="004A7FF1" w:rsidRDefault="00C42291">
            <w:pPr>
              <w:pStyle w:val="CellColumn"/>
              <w:jc w:val="left"/>
            </w:pPr>
            <w:r>
              <w:rPr>
                <w:rFonts w:cs="Times New Roman"/>
              </w:rPr>
              <w:t>Rješenjima o uklanjanju građevina, o usklađenju građenja s izdanim aktom, obustavama daljnjeg građenja, izricanjem novčanih kazni, uklanjanjem građevina i drugim mjerama utječe se na suzbijanje nezakonitog građenja.</w:t>
            </w:r>
          </w:p>
        </w:tc>
        <w:tc>
          <w:tcPr>
            <w:tcW w:w="918" w:type="dxa"/>
          </w:tcPr>
          <w:p w14:paraId="34AA1953" w14:textId="77777777" w:rsidR="004A7FF1" w:rsidRDefault="00C42291">
            <w:pPr>
              <w:jc w:val="center"/>
            </w:pPr>
            <w:r>
              <w:t>Postotak</w:t>
            </w:r>
          </w:p>
        </w:tc>
        <w:tc>
          <w:tcPr>
            <w:tcW w:w="918" w:type="dxa"/>
          </w:tcPr>
          <w:p w14:paraId="7C9A62BC" w14:textId="77777777" w:rsidR="004A7FF1" w:rsidRDefault="00C42291">
            <w:pPr>
              <w:jc w:val="center"/>
            </w:pPr>
            <w:r>
              <w:t>49</w:t>
            </w:r>
          </w:p>
        </w:tc>
        <w:tc>
          <w:tcPr>
            <w:tcW w:w="918" w:type="dxa"/>
          </w:tcPr>
          <w:p w14:paraId="49CAC17B" w14:textId="77777777" w:rsidR="004A7FF1" w:rsidRDefault="00C42291">
            <w:pPr>
              <w:pStyle w:val="CellColumn"/>
              <w:jc w:val="center"/>
            </w:pPr>
            <w:r>
              <w:rPr>
                <w:rFonts w:cs="Times New Roman"/>
              </w:rPr>
              <w:t>DIRH</w:t>
            </w:r>
          </w:p>
        </w:tc>
        <w:tc>
          <w:tcPr>
            <w:tcW w:w="918" w:type="dxa"/>
          </w:tcPr>
          <w:p w14:paraId="026D56D7" w14:textId="77777777" w:rsidR="004A7FF1" w:rsidRDefault="00C42291">
            <w:pPr>
              <w:jc w:val="center"/>
            </w:pPr>
            <w:r>
              <w:t>48</w:t>
            </w:r>
          </w:p>
        </w:tc>
        <w:tc>
          <w:tcPr>
            <w:tcW w:w="918" w:type="dxa"/>
          </w:tcPr>
          <w:p w14:paraId="37A930B3" w14:textId="77777777" w:rsidR="004A7FF1" w:rsidRDefault="00C42291">
            <w:pPr>
              <w:jc w:val="center"/>
            </w:pPr>
            <w:r>
              <w:t>48</w:t>
            </w:r>
          </w:p>
        </w:tc>
        <w:tc>
          <w:tcPr>
            <w:tcW w:w="918" w:type="dxa"/>
          </w:tcPr>
          <w:p w14:paraId="70BE1E84" w14:textId="77777777" w:rsidR="004A7FF1" w:rsidRDefault="00C42291">
            <w:pPr>
              <w:jc w:val="center"/>
            </w:pPr>
            <w:r>
              <w:t>48</w:t>
            </w:r>
          </w:p>
        </w:tc>
      </w:tr>
      <w:tr w:rsidR="004A7FF1" w14:paraId="39BD718F" w14:textId="77777777">
        <w:trPr>
          <w:jc w:val="center"/>
        </w:trPr>
        <w:tc>
          <w:tcPr>
            <w:tcW w:w="2245" w:type="dxa"/>
            <w:vAlign w:val="top"/>
          </w:tcPr>
          <w:p w14:paraId="138AAF26" w14:textId="77777777" w:rsidR="004A7FF1" w:rsidRDefault="00C42291">
            <w:pPr>
              <w:pStyle w:val="CellColumn"/>
              <w:jc w:val="left"/>
            </w:pPr>
            <w:r>
              <w:rPr>
                <w:rFonts w:cs="Times New Roman"/>
              </w:rPr>
              <w:t>Uklonjene uništene zgrade</w:t>
            </w:r>
          </w:p>
        </w:tc>
        <w:tc>
          <w:tcPr>
            <w:tcW w:w="2245" w:type="dxa"/>
            <w:vAlign w:val="top"/>
          </w:tcPr>
          <w:p w14:paraId="4A6DFCB3" w14:textId="77777777" w:rsidR="004A7FF1" w:rsidRDefault="00C42291">
            <w:pPr>
              <w:pStyle w:val="CellColumn"/>
              <w:jc w:val="left"/>
            </w:pPr>
            <w:r>
              <w:rPr>
                <w:rFonts w:cs="Times New Roman"/>
              </w:rPr>
              <w:t>Zgrade koje su u potresima iz 2020. godine tako uništene da predstavljaju opasnost</w:t>
            </w:r>
          </w:p>
        </w:tc>
        <w:tc>
          <w:tcPr>
            <w:tcW w:w="918" w:type="dxa"/>
          </w:tcPr>
          <w:p w14:paraId="78844C32" w14:textId="77777777" w:rsidR="004A7FF1" w:rsidRDefault="00C42291">
            <w:pPr>
              <w:jc w:val="center"/>
            </w:pPr>
            <w:r>
              <w:t>Broj</w:t>
            </w:r>
          </w:p>
        </w:tc>
        <w:tc>
          <w:tcPr>
            <w:tcW w:w="918" w:type="dxa"/>
          </w:tcPr>
          <w:p w14:paraId="066C0CF5" w14:textId="77777777" w:rsidR="004A7FF1" w:rsidRDefault="00C42291">
            <w:pPr>
              <w:jc w:val="center"/>
            </w:pPr>
            <w:r>
              <w:t>305 (2022.)</w:t>
            </w:r>
          </w:p>
        </w:tc>
        <w:tc>
          <w:tcPr>
            <w:tcW w:w="918" w:type="dxa"/>
          </w:tcPr>
          <w:p w14:paraId="7A39D0F7" w14:textId="77777777" w:rsidR="004A7FF1" w:rsidRDefault="00C42291">
            <w:pPr>
              <w:pStyle w:val="CellColumn"/>
              <w:jc w:val="center"/>
            </w:pPr>
            <w:r>
              <w:rPr>
                <w:rFonts w:cs="Times New Roman"/>
              </w:rPr>
              <w:t>DIRH</w:t>
            </w:r>
          </w:p>
        </w:tc>
        <w:tc>
          <w:tcPr>
            <w:tcW w:w="918" w:type="dxa"/>
          </w:tcPr>
          <w:p w14:paraId="17129C41" w14:textId="77777777" w:rsidR="004A7FF1" w:rsidRDefault="00C42291">
            <w:pPr>
              <w:jc w:val="center"/>
            </w:pPr>
            <w:r>
              <w:t>300</w:t>
            </w:r>
          </w:p>
        </w:tc>
        <w:tc>
          <w:tcPr>
            <w:tcW w:w="918" w:type="dxa"/>
          </w:tcPr>
          <w:p w14:paraId="40011B4B" w14:textId="77777777" w:rsidR="004A7FF1" w:rsidRDefault="00C42291">
            <w:pPr>
              <w:jc w:val="center"/>
            </w:pPr>
            <w:r>
              <w:t>200</w:t>
            </w:r>
          </w:p>
        </w:tc>
        <w:tc>
          <w:tcPr>
            <w:tcW w:w="918" w:type="dxa"/>
          </w:tcPr>
          <w:p w14:paraId="0580D023" w14:textId="77777777" w:rsidR="004A7FF1" w:rsidRDefault="00C42291">
            <w:pPr>
              <w:jc w:val="center"/>
            </w:pPr>
            <w:r>
              <w:t>200</w:t>
            </w:r>
          </w:p>
        </w:tc>
      </w:tr>
    </w:tbl>
    <w:p w14:paraId="33BA402F" w14:textId="77777777" w:rsidR="004A7FF1" w:rsidRDefault="004A7FF1">
      <w:pPr>
        <w:jc w:val="left"/>
      </w:pPr>
    </w:p>
    <w:p w14:paraId="0B3D1E9F" w14:textId="77777777" w:rsidR="004A7FF1" w:rsidRDefault="00C42291">
      <w:pPr>
        <w:pStyle w:val="Naslov4"/>
      </w:pPr>
      <w:r>
        <w:t>A673018 ADMINISTRACIJA I UPRAVLJANJE</w:t>
      </w:r>
    </w:p>
    <w:p w14:paraId="42CC818B" w14:textId="77777777" w:rsidR="004A7FF1" w:rsidRDefault="00C42291">
      <w:pPr>
        <w:pStyle w:val="Naslov8"/>
        <w:jc w:val="left"/>
      </w:pPr>
      <w:r>
        <w:t>Zakonske i druge pravne osnove</w:t>
      </w:r>
    </w:p>
    <w:p w14:paraId="3A928BC9" w14:textId="77777777" w:rsidR="004A7FF1" w:rsidRDefault="00C42291">
      <w:r>
        <w:t xml:space="preserve">-Kolektivni ugovor za državne službenike i namještenike </w:t>
      </w:r>
    </w:p>
    <w:p w14:paraId="23097324" w14:textId="77777777" w:rsidR="004A7FF1" w:rsidRDefault="00C42291">
      <w:r>
        <w:t xml:space="preserve">-Zakon o javnoj nabavi </w:t>
      </w:r>
    </w:p>
    <w:p w14:paraId="3C92ECBE" w14:textId="77777777" w:rsidR="004A7FF1" w:rsidRDefault="00C42291">
      <w:r>
        <w:t>-Zakon o proračunu</w:t>
      </w:r>
    </w:p>
    <w:tbl>
      <w:tblPr>
        <w:tblStyle w:val="StilTablice"/>
        <w:tblW w:w="10206" w:type="dxa"/>
        <w:jc w:val="center"/>
        <w:tblLook w:val="04A0" w:firstRow="1" w:lastRow="0" w:firstColumn="1" w:lastColumn="0" w:noHBand="0" w:noVBand="1"/>
      </w:tblPr>
      <w:tblGrid>
        <w:gridCol w:w="1452"/>
        <w:gridCol w:w="1556"/>
        <w:gridCol w:w="1557"/>
        <w:gridCol w:w="1557"/>
        <w:gridCol w:w="1557"/>
        <w:gridCol w:w="1557"/>
        <w:gridCol w:w="970"/>
      </w:tblGrid>
      <w:tr w:rsidR="004A7FF1" w14:paraId="65AB830E" w14:textId="77777777">
        <w:trPr>
          <w:jc w:val="center"/>
        </w:trPr>
        <w:tc>
          <w:tcPr>
            <w:tcW w:w="1530" w:type="dxa"/>
            <w:shd w:val="clear" w:color="auto" w:fill="B5C0D8"/>
          </w:tcPr>
          <w:p w14:paraId="6B91057E" w14:textId="77777777" w:rsidR="004A7FF1" w:rsidRDefault="00C42291">
            <w:pPr>
              <w:pStyle w:val="CellHeader"/>
              <w:jc w:val="center"/>
            </w:pPr>
            <w:r>
              <w:rPr>
                <w:rFonts w:cs="Times New Roman"/>
              </w:rPr>
              <w:t>Naziv aktivnosti</w:t>
            </w:r>
          </w:p>
        </w:tc>
        <w:tc>
          <w:tcPr>
            <w:tcW w:w="1632" w:type="dxa"/>
            <w:shd w:val="clear" w:color="auto" w:fill="B5C0D8"/>
          </w:tcPr>
          <w:p w14:paraId="358CB620" w14:textId="77777777" w:rsidR="004A7FF1" w:rsidRDefault="00C42291">
            <w:pPr>
              <w:pStyle w:val="CellHeader"/>
              <w:jc w:val="center"/>
            </w:pPr>
            <w:r>
              <w:rPr>
                <w:rFonts w:cs="Times New Roman"/>
              </w:rPr>
              <w:t>Izvršenje 2022.</w:t>
            </w:r>
          </w:p>
        </w:tc>
        <w:tc>
          <w:tcPr>
            <w:tcW w:w="1632" w:type="dxa"/>
            <w:shd w:val="clear" w:color="auto" w:fill="B5C0D8"/>
          </w:tcPr>
          <w:p w14:paraId="7233AD22" w14:textId="77777777" w:rsidR="004A7FF1" w:rsidRDefault="00C42291">
            <w:pPr>
              <w:pStyle w:val="CellHeader"/>
              <w:jc w:val="center"/>
            </w:pPr>
            <w:r>
              <w:rPr>
                <w:rFonts w:cs="Times New Roman"/>
              </w:rPr>
              <w:t>Plan 2023.</w:t>
            </w:r>
          </w:p>
        </w:tc>
        <w:tc>
          <w:tcPr>
            <w:tcW w:w="1632" w:type="dxa"/>
            <w:shd w:val="clear" w:color="auto" w:fill="B5C0D8"/>
          </w:tcPr>
          <w:p w14:paraId="4385E471" w14:textId="77777777" w:rsidR="004A7FF1" w:rsidRDefault="00C42291">
            <w:pPr>
              <w:pStyle w:val="CellHeader"/>
              <w:jc w:val="center"/>
            </w:pPr>
            <w:r>
              <w:rPr>
                <w:rFonts w:cs="Times New Roman"/>
              </w:rPr>
              <w:t>Plan 2024.</w:t>
            </w:r>
          </w:p>
        </w:tc>
        <w:tc>
          <w:tcPr>
            <w:tcW w:w="1632" w:type="dxa"/>
            <w:shd w:val="clear" w:color="auto" w:fill="B5C0D8"/>
          </w:tcPr>
          <w:p w14:paraId="02999CE5" w14:textId="77777777" w:rsidR="004A7FF1" w:rsidRDefault="00C42291">
            <w:pPr>
              <w:pStyle w:val="CellHeader"/>
              <w:jc w:val="center"/>
            </w:pPr>
            <w:r>
              <w:rPr>
                <w:rFonts w:cs="Times New Roman"/>
              </w:rPr>
              <w:t>Plan 2025.</w:t>
            </w:r>
          </w:p>
        </w:tc>
        <w:tc>
          <w:tcPr>
            <w:tcW w:w="1632" w:type="dxa"/>
            <w:shd w:val="clear" w:color="auto" w:fill="B5C0D8"/>
          </w:tcPr>
          <w:p w14:paraId="5A24A880" w14:textId="77777777" w:rsidR="004A7FF1" w:rsidRDefault="00C42291">
            <w:pPr>
              <w:pStyle w:val="CellHeader"/>
              <w:jc w:val="center"/>
            </w:pPr>
            <w:r>
              <w:rPr>
                <w:rFonts w:cs="Times New Roman"/>
              </w:rPr>
              <w:t>Plan 2026.</w:t>
            </w:r>
          </w:p>
        </w:tc>
        <w:tc>
          <w:tcPr>
            <w:tcW w:w="510" w:type="dxa"/>
            <w:shd w:val="clear" w:color="auto" w:fill="B5C0D8"/>
          </w:tcPr>
          <w:p w14:paraId="4B610FE4" w14:textId="77777777" w:rsidR="004A7FF1" w:rsidRDefault="00C42291">
            <w:pPr>
              <w:pStyle w:val="CellHeader"/>
              <w:jc w:val="center"/>
            </w:pPr>
            <w:r>
              <w:rPr>
                <w:rFonts w:cs="Times New Roman"/>
              </w:rPr>
              <w:t>Indeks 2024/2023</w:t>
            </w:r>
          </w:p>
        </w:tc>
      </w:tr>
      <w:tr w:rsidR="004A7FF1" w14:paraId="1ADB0339" w14:textId="77777777">
        <w:trPr>
          <w:jc w:val="center"/>
        </w:trPr>
        <w:tc>
          <w:tcPr>
            <w:tcW w:w="1530" w:type="dxa"/>
            <w:vAlign w:val="top"/>
          </w:tcPr>
          <w:p w14:paraId="7FCF9922" w14:textId="77777777" w:rsidR="004A7FF1" w:rsidRDefault="00C42291">
            <w:pPr>
              <w:pStyle w:val="CellColumn"/>
              <w:jc w:val="left"/>
            </w:pPr>
            <w:r>
              <w:rPr>
                <w:rFonts w:cs="Times New Roman"/>
              </w:rPr>
              <w:t>A673018</w:t>
            </w:r>
          </w:p>
        </w:tc>
        <w:tc>
          <w:tcPr>
            <w:tcW w:w="1632" w:type="dxa"/>
            <w:vAlign w:val="top"/>
          </w:tcPr>
          <w:p w14:paraId="5A32A084" w14:textId="77777777" w:rsidR="004A7FF1" w:rsidRDefault="00C42291">
            <w:pPr>
              <w:jc w:val="right"/>
            </w:pPr>
            <w:r>
              <w:t>41.359.121</w:t>
            </w:r>
          </w:p>
        </w:tc>
        <w:tc>
          <w:tcPr>
            <w:tcW w:w="1632" w:type="dxa"/>
            <w:vAlign w:val="top"/>
          </w:tcPr>
          <w:p w14:paraId="6344C8D5" w14:textId="77777777" w:rsidR="004A7FF1" w:rsidRDefault="00C42291">
            <w:pPr>
              <w:jc w:val="right"/>
            </w:pPr>
            <w:r>
              <w:t>46.408.985</w:t>
            </w:r>
          </w:p>
        </w:tc>
        <w:tc>
          <w:tcPr>
            <w:tcW w:w="1632" w:type="dxa"/>
            <w:vAlign w:val="top"/>
          </w:tcPr>
          <w:p w14:paraId="60D98E42" w14:textId="77777777" w:rsidR="004A7FF1" w:rsidRDefault="00C42291">
            <w:pPr>
              <w:jc w:val="right"/>
            </w:pPr>
            <w:r>
              <w:t>57.070.494</w:t>
            </w:r>
          </w:p>
        </w:tc>
        <w:tc>
          <w:tcPr>
            <w:tcW w:w="1632" w:type="dxa"/>
            <w:vAlign w:val="top"/>
          </w:tcPr>
          <w:p w14:paraId="153375FC" w14:textId="77777777" w:rsidR="004A7FF1" w:rsidRDefault="00C42291">
            <w:pPr>
              <w:jc w:val="right"/>
            </w:pPr>
            <w:r>
              <w:t>56.819.436</w:t>
            </w:r>
          </w:p>
        </w:tc>
        <w:tc>
          <w:tcPr>
            <w:tcW w:w="1632" w:type="dxa"/>
            <w:vAlign w:val="top"/>
          </w:tcPr>
          <w:p w14:paraId="72420F9F" w14:textId="77777777" w:rsidR="004A7FF1" w:rsidRDefault="00C42291">
            <w:pPr>
              <w:jc w:val="right"/>
            </w:pPr>
            <w:r>
              <w:t>56.927.339</w:t>
            </w:r>
          </w:p>
        </w:tc>
        <w:tc>
          <w:tcPr>
            <w:tcW w:w="510" w:type="dxa"/>
            <w:vAlign w:val="top"/>
          </w:tcPr>
          <w:p w14:paraId="6B5E471D" w14:textId="77777777" w:rsidR="004A7FF1" w:rsidRDefault="00C42291">
            <w:pPr>
              <w:jc w:val="right"/>
            </w:pPr>
            <w:r>
              <w:t>123,0</w:t>
            </w:r>
          </w:p>
        </w:tc>
      </w:tr>
    </w:tbl>
    <w:p w14:paraId="5F175388" w14:textId="77777777" w:rsidR="004A7FF1" w:rsidRDefault="004A7FF1">
      <w:pPr>
        <w:jc w:val="left"/>
      </w:pPr>
    </w:p>
    <w:p w14:paraId="1CEC8098" w14:textId="77777777" w:rsidR="004A7FF1" w:rsidRDefault="00C42291">
      <w:r>
        <w:t>Sredstva ove aktivnosti namijenjena su za financiranje svih stručnih i administrativnih poslova radi nesmetanog, racionalnog i uspješnog obavljanja djelatnosti Državnog inspektorata. Državni inspektorat osim Središnjeg ure</w:t>
      </w:r>
      <w:r w:rsidR="00344DAB">
        <w:t>da ima i 5 područnih ureda te 37</w:t>
      </w:r>
      <w:r>
        <w:t xml:space="preserve"> Ispostava. Područni uredi su: Područni ured Zagreb, Područni ured Split, Područni ured Rijeka, Područni ured Varaždin i Područni ured Osijek. Za sve navedene lokacije potrebno je osigurati novčana sredstava za podmirenje režijskih troškova. Sredstva se koriste za poduzimanje mjera za osiguranje učinkovitosti u radu cijelog inspektorata te usklađenje rada unutarnjih ustrojstvenih jedinica inspektorata i upravnih organizacija u sastavu inspektorata.  </w:t>
      </w:r>
    </w:p>
    <w:p w14:paraId="380E082F" w14:textId="77777777" w:rsidR="004A7FF1" w:rsidRDefault="00C42291">
      <w:r>
        <w:t xml:space="preserve"> </w:t>
      </w:r>
    </w:p>
    <w:p w14:paraId="0D5CB910" w14:textId="77777777" w:rsidR="004A7FF1" w:rsidRDefault="00C42291">
      <w:r>
        <w:t>Na sredstva za rashode za zaposlene u 2024. godini odnosi se 90,04 % (49.281.154 eur) sredstava ove aktivnosti dok se na materijalne rashode i financijske rashode odnosi 9,96% (7.789.340 eur). U 2025. godini za rashode za zaposlene planirano je 91,04 % (49.536.065 eur), a u 2026. godini 91,31 % (49.762.001 eur).</w:t>
      </w:r>
    </w:p>
    <w:p w14:paraId="393440F4" w14:textId="77777777" w:rsidR="004A7FF1" w:rsidRDefault="00C42291">
      <w:pPr>
        <w:pStyle w:val="Naslov4"/>
      </w:pPr>
      <w:r>
        <w:lastRenderedPageBreak/>
        <w:t>A673020 NADZOR SASTAVNICA OKOLIŠA</w:t>
      </w:r>
    </w:p>
    <w:p w14:paraId="24AC9594" w14:textId="77777777" w:rsidR="004A7FF1" w:rsidRDefault="00C42291">
      <w:pPr>
        <w:pStyle w:val="Naslov8"/>
        <w:jc w:val="left"/>
      </w:pPr>
      <w:r>
        <w:t>Zakonske i druge pravne osnove</w:t>
      </w:r>
    </w:p>
    <w:p w14:paraId="0BF30671" w14:textId="77777777" w:rsidR="004A7FF1" w:rsidRDefault="00C42291">
      <w:r>
        <w:t xml:space="preserve">-Zakon o zaštiti okoliša </w:t>
      </w:r>
    </w:p>
    <w:p w14:paraId="054ACEF5" w14:textId="77777777" w:rsidR="004A7FF1" w:rsidRDefault="00C42291">
      <w:r>
        <w:t xml:space="preserve">-Zakon o zaštiti zraka </w:t>
      </w:r>
    </w:p>
    <w:p w14:paraId="21F23F6F" w14:textId="77777777" w:rsidR="004A7FF1" w:rsidRDefault="00C42291">
      <w:r>
        <w:t xml:space="preserve">-Zakon o klimatskim promjenama i zaštiti ozonskog sloja </w:t>
      </w:r>
    </w:p>
    <w:p w14:paraId="6578422A" w14:textId="77777777" w:rsidR="004A7FF1" w:rsidRDefault="00C42291">
      <w:r>
        <w:t xml:space="preserve">-Zakon o gospodarenju otpadom  </w:t>
      </w:r>
    </w:p>
    <w:p w14:paraId="518F31FA" w14:textId="77777777" w:rsidR="004A7FF1" w:rsidRDefault="00C42291">
      <w:r>
        <w:t xml:space="preserve">-Zakon o zaštiti od svjetlosnog onečišćenja  </w:t>
      </w:r>
    </w:p>
    <w:p w14:paraId="7D7D3329" w14:textId="77777777" w:rsidR="004A7FF1" w:rsidRDefault="00C42291">
      <w:r>
        <w:t xml:space="preserve">-Uredba (EZ) br. 1013/2006 o pošiljkama otpada </w:t>
      </w:r>
    </w:p>
    <w:p w14:paraId="4720A8F3" w14:textId="77777777" w:rsidR="004A7FF1" w:rsidRDefault="00C42291">
      <w:r>
        <w:t xml:space="preserve">-Zakon o meteorološkoj i hidrološkoj djelatnosti  </w:t>
      </w:r>
    </w:p>
    <w:p w14:paraId="4AFE5243" w14:textId="77777777" w:rsidR="004A7FF1" w:rsidRDefault="00C42291">
      <w:r>
        <w:t xml:space="preserve">-Zakon o provedbi Uredbe (EU) br. 1257/2013 Europskog parlamenta i Vijeća od 20. studenoga 2013. o recikliranju brodova i o izmjeni Uredbe (EZ) br. 1013/2006 i Direktive 2009/16/EZ </w:t>
      </w:r>
    </w:p>
    <w:p w14:paraId="19A6A1F8" w14:textId="77777777" w:rsidR="004A7FF1" w:rsidRDefault="00C42291">
      <w:r>
        <w:t xml:space="preserve">-Zakon o provedbi Uredbe (EU) br. 2019/1021 o postojanim organskim onečišćujućim tvarima </w:t>
      </w:r>
    </w:p>
    <w:p w14:paraId="28A06177" w14:textId="77777777" w:rsidR="004A7FF1" w:rsidRDefault="00C42291">
      <w:r>
        <w:t>-Zakon o Fondu za zaštitu okoliša i energetsku učinkovitost  te tehnički i drugi propisi doneseni na temelju navedenih zakona</w:t>
      </w:r>
    </w:p>
    <w:tbl>
      <w:tblPr>
        <w:tblStyle w:val="StilTablice"/>
        <w:tblW w:w="10206" w:type="dxa"/>
        <w:jc w:val="center"/>
        <w:tblLook w:val="04A0" w:firstRow="1" w:lastRow="0" w:firstColumn="1" w:lastColumn="0" w:noHBand="0" w:noVBand="1"/>
      </w:tblPr>
      <w:tblGrid>
        <w:gridCol w:w="1473"/>
        <w:gridCol w:w="1559"/>
        <w:gridCol w:w="1551"/>
        <w:gridCol w:w="1551"/>
        <w:gridCol w:w="1551"/>
        <w:gridCol w:w="1551"/>
        <w:gridCol w:w="970"/>
      </w:tblGrid>
      <w:tr w:rsidR="004A7FF1" w14:paraId="1000536E" w14:textId="77777777">
        <w:trPr>
          <w:jc w:val="center"/>
        </w:trPr>
        <w:tc>
          <w:tcPr>
            <w:tcW w:w="1530" w:type="dxa"/>
            <w:shd w:val="clear" w:color="auto" w:fill="B5C0D8"/>
          </w:tcPr>
          <w:p w14:paraId="2BC7D8D1" w14:textId="77777777" w:rsidR="004A7FF1" w:rsidRDefault="00C42291">
            <w:pPr>
              <w:pStyle w:val="CellHeader"/>
              <w:jc w:val="center"/>
            </w:pPr>
            <w:r>
              <w:rPr>
                <w:rFonts w:cs="Times New Roman"/>
              </w:rPr>
              <w:t>Naziv aktivnosti</w:t>
            </w:r>
          </w:p>
        </w:tc>
        <w:tc>
          <w:tcPr>
            <w:tcW w:w="1632" w:type="dxa"/>
            <w:shd w:val="clear" w:color="auto" w:fill="B5C0D8"/>
          </w:tcPr>
          <w:p w14:paraId="2CD58173" w14:textId="77777777" w:rsidR="004A7FF1" w:rsidRDefault="00C42291">
            <w:pPr>
              <w:pStyle w:val="CellHeader"/>
              <w:jc w:val="center"/>
            </w:pPr>
            <w:r>
              <w:rPr>
                <w:rFonts w:cs="Times New Roman"/>
              </w:rPr>
              <w:t>Izvršenje 2022.</w:t>
            </w:r>
          </w:p>
        </w:tc>
        <w:tc>
          <w:tcPr>
            <w:tcW w:w="1632" w:type="dxa"/>
            <w:shd w:val="clear" w:color="auto" w:fill="B5C0D8"/>
          </w:tcPr>
          <w:p w14:paraId="15D3E31C" w14:textId="77777777" w:rsidR="004A7FF1" w:rsidRDefault="00C42291">
            <w:pPr>
              <w:pStyle w:val="CellHeader"/>
              <w:jc w:val="center"/>
            </w:pPr>
            <w:r>
              <w:rPr>
                <w:rFonts w:cs="Times New Roman"/>
              </w:rPr>
              <w:t>Plan 2023.</w:t>
            </w:r>
          </w:p>
        </w:tc>
        <w:tc>
          <w:tcPr>
            <w:tcW w:w="1632" w:type="dxa"/>
            <w:shd w:val="clear" w:color="auto" w:fill="B5C0D8"/>
          </w:tcPr>
          <w:p w14:paraId="7CBC63D6" w14:textId="77777777" w:rsidR="004A7FF1" w:rsidRDefault="00C42291">
            <w:pPr>
              <w:pStyle w:val="CellHeader"/>
              <w:jc w:val="center"/>
            </w:pPr>
            <w:r>
              <w:rPr>
                <w:rFonts w:cs="Times New Roman"/>
              </w:rPr>
              <w:t>Plan 2024.</w:t>
            </w:r>
          </w:p>
        </w:tc>
        <w:tc>
          <w:tcPr>
            <w:tcW w:w="1632" w:type="dxa"/>
            <w:shd w:val="clear" w:color="auto" w:fill="B5C0D8"/>
          </w:tcPr>
          <w:p w14:paraId="624F118F" w14:textId="77777777" w:rsidR="004A7FF1" w:rsidRDefault="00C42291">
            <w:pPr>
              <w:pStyle w:val="CellHeader"/>
              <w:jc w:val="center"/>
            </w:pPr>
            <w:r>
              <w:rPr>
                <w:rFonts w:cs="Times New Roman"/>
              </w:rPr>
              <w:t>Plan 2025.</w:t>
            </w:r>
          </w:p>
        </w:tc>
        <w:tc>
          <w:tcPr>
            <w:tcW w:w="1632" w:type="dxa"/>
            <w:shd w:val="clear" w:color="auto" w:fill="B5C0D8"/>
          </w:tcPr>
          <w:p w14:paraId="0E618EDE" w14:textId="77777777" w:rsidR="004A7FF1" w:rsidRDefault="00C42291">
            <w:pPr>
              <w:pStyle w:val="CellHeader"/>
              <w:jc w:val="center"/>
            </w:pPr>
            <w:r>
              <w:rPr>
                <w:rFonts w:cs="Times New Roman"/>
              </w:rPr>
              <w:t>Plan 2026.</w:t>
            </w:r>
          </w:p>
        </w:tc>
        <w:tc>
          <w:tcPr>
            <w:tcW w:w="510" w:type="dxa"/>
            <w:shd w:val="clear" w:color="auto" w:fill="B5C0D8"/>
          </w:tcPr>
          <w:p w14:paraId="4FB28E0C" w14:textId="77777777" w:rsidR="004A7FF1" w:rsidRDefault="00C42291">
            <w:pPr>
              <w:pStyle w:val="CellHeader"/>
              <w:jc w:val="center"/>
            </w:pPr>
            <w:r>
              <w:rPr>
                <w:rFonts w:cs="Times New Roman"/>
              </w:rPr>
              <w:t>Indeks 2024/2023</w:t>
            </w:r>
          </w:p>
        </w:tc>
      </w:tr>
      <w:tr w:rsidR="004A7FF1" w14:paraId="149B30BC" w14:textId="77777777">
        <w:trPr>
          <w:jc w:val="center"/>
        </w:trPr>
        <w:tc>
          <w:tcPr>
            <w:tcW w:w="1530" w:type="dxa"/>
            <w:vAlign w:val="top"/>
          </w:tcPr>
          <w:p w14:paraId="778D5A1B" w14:textId="77777777" w:rsidR="004A7FF1" w:rsidRDefault="00C42291">
            <w:pPr>
              <w:pStyle w:val="CellColumn"/>
              <w:jc w:val="left"/>
            </w:pPr>
            <w:r>
              <w:rPr>
                <w:rFonts w:cs="Times New Roman"/>
              </w:rPr>
              <w:t>A673020</w:t>
            </w:r>
          </w:p>
        </w:tc>
        <w:tc>
          <w:tcPr>
            <w:tcW w:w="1632" w:type="dxa"/>
            <w:vAlign w:val="top"/>
          </w:tcPr>
          <w:p w14:paraId="04C6B207" w14:textId="77777777" w:rsidR="004A7FF1" w:rsidRDefault="00C42291">
            <w:pPr>
              <w:jc w:val="right"/>
            </w:pPr>
            <w:r>
              <w:t>21.972</w:t>
            </w:r>
          </w:p>
        </w:tc>
        <w:tc>
          <w:tcPr>
            <w:tcW w:w="1632" w:type="dxa"/>
            <w:vAlign w:val="top"/>
          </w:tcPr>
          <w:p w14:paraId="55A85F87" w14:textId="77777777" w:rsidR="004A7FF1" w:rsidRDefault="00C42291">
            <w:pPr>
              <w:jc w:val="right"/>
            </w:pPr>
            <w:r>
              <w:t>375.960</w:t>
            </w:r>
          </w:p>
        </w:tc>
        <w:tc>
          <w:tcPr>
            <w:tcW w:w="1632" w:type="dxa"/>
            <w:vAlign w:val="top"/>
          </w:tcPr>
          <w:p w14:paraId="3765A598" w14:textId="77777777" w:rsidR="004A7FF1" w:rsidRDefault="00C42291">
            <w:pPr>
              <w:jc w:val="right"/>
            </w:pPr>
            <w:r>
              <w:t>726.899</w:t>
            </w:r>
          </w:p>
        </w:tc>
        <w:tc>
          <w:tcPr>
            <w:tcW w:w="1632" w:type="dxa"/>
            <w:vAlign w:val="top"/>
          </w:tcPr>
          <w:p w14:paraId="518E931B" w14:textId="77777777" w:rsidR="004A7FF1" w:rsidRDefault="00C42291">
            <w:pPr>
              <w:jc w:val="right"/>
            </w:pPr>
            <w:r>
              <w:t>226.899</w:t>
            </w:r>
          </w:p>
        </w:tc>
        <w:tc>
          <w:tcPr>
            <w:tcW w:w="1632" w:type="dxa"/>
            <w:vAlign w:val="top"/>
          </w:tcPr>
          <w:p w14:paraId="65AE594F" w14:textId="77777777" w:rsidR="004A7FF1" w:rsidRDefault="00C42291">
            <w:pPr>
              <w:jc w:val="right"/>
            </w:pPr>
            <w:r>
              <w:t>226.899</w:t>
            </w:r>
          </w:p>
        </w:tc>
        <w:tc>
          <w:tcPr>
            <w:tcW w:w="510" w:type="dxa"/>
            <w:vAlign w:val="top"/>
          </w:tcPr>
          <w:p w14:paraId="6CA5181E" w14:textId="77777777" w:rsidR="004A7FF1" w:rsidRDefault="00C42291">
            <w:pPr>
              <w:jc w:val="right"/>
            </w:pPr>
            <w:r>
              <w:t>193,3</w:t>
            </w:r>
          </w:p>
        </w:tc>
      </w:tr>
    </w:tbl>
    <w:p w14:paraId="20A95D43" w14:textId="77777777" w:rsidR="004A7FF1" w:rsidRDefault="004A7FF1">
      <w:pPr>
        <w:jc w:val="left"/>
      </w:pPr>
    </w:p>
    <w:p w14:paraId="1C6B9953" w14:textId="77777777" w:rsidR="004A7FF1" w:rsidRDefault="00C42291">
      <w:r>
        <w:t xml:space="preserve">Sredstva s ove stavke prvenstveno su predviđena za izvršenje rješenja inspekcije zaštite okoliša putem druge osobe, te vještačenja, uzorkovanja i analize otpada, tla i zraka. U sklopu ove aktivnosti sredstva su planirana i za obavljanje redovnih poslova i zadataka inspekcije zaštite okoliša, inspekcije zaštite prirode i vodopravne inspekcije s ciljem unapređenja kvalitete svih sastavnica okoliša i života građana, sprečavanja onečišćenja, štete i ozbiljnih nesreća te provedbe održivog razvoja Republike Hrvatske. </w:t>
      </w:r>
    </w:p>
    <w:p w14:paraId="66E5D1A7" w14:textId="77777777" w:rsidR="004A7FF1" w:rsidRDefault="00C42291">
      <w:r>
        <w:t xml:space="preserve"> </w:t>
      </w:r>
    </w:p>
    <w:p w14:paraId="19A8DEF8" w14:textId="77777777" w:rsidR="004A7FF1" w:rsidRDefault="00C42291">
      <w:r>
        <w:t xml:space="preserve">Osnovne zadaće inspekcije zaštite okoliša su nadzor primjene regulative radi usklađenosti nadziranih osoba s okolišnom regulativom kao i poticaj njene primjene s ciljem unapređenja kvalitete okoliša i života građana te sprečavanja onečišćenja, štete i ozbiljnih nesreća. </w:t>
      </w:r>
    </w:p>
    <w:p w14:paraId="7E7E87C3" w14:textId="77777777" w:rsidR="004A7FF1" w:rsidRDefault="00C42291">
      <w:r>
        <w:t xml:space="preserve"> </w:t>
      </w:r>
    </w:p>
    <w:p w14:paraId="572B4278" w14:textId="77777777" w:rsidR="004A7FF1" w:rsidRDefault="00C42291">
      <w:r>
        <w:t xml:space="preserve">U svrhu ispunjavanja te zadaće, a s obzirom na broj inspektora u odnosu brojnost obveznika primjene propisa kao i njihov različit utjecaj na stanje okoliša, nužnost u radu inspekcije je određivanje prioriteta prilikom planiranja provedbe inspekcijskih nadzora, a od posebne je važnosti permanentna edukacija inspektora kako bi se ovi nadzori obavljali na učinkovit, stručan, jedinstven i integriran način.  </w:t>
      </w:r>
    </w:p>
    <w:p w14:paraId="31A1CE89" w14:textId="77777777" w:rsidR="004A7FF1" w:rsidRDefault="00C42291">
      <w:r>
        <w:t xml:space="preserve"> </w:t>
      </w:r>
    </w:p>
    <w:p w14:paraId="277D288D" w14:textId="77777777" w:rsidR="004A7FF1" w:rsidRDefault="00C42291">
      <w:r>
        <w:t xml:space="preserve">Inspekcija zaštite okoliša u svrhu kontrole provedbe zakona iz djelokruga rada, temeljem propisanih ovlasti obavljaju specifične poslove koji, osim redovnih planiranih aktivnosti, u znatnoj mjeri ovise o trenutnim nepredvidivim zbivanjima u području zaštite okoliša (prijave građana, izvanredni događaji, velike nesreće, onečišćenja i sl.). Zbog tih je specifičnosti nužno u proračunu planirati sredstva za realizaciju inspekcijskih nadzora i daljnjih postupaka koji nakon utvrđenja povrede propisa proizlaze, posebice u slučaju onečišćenja okoliša te potrebe sanacije onečišćenog okoliša.  </w:t>
      </w:r>
    </w:p>
    <w:p w14:paraId="07896758" w14:textId="77777777" w:rsidR="004A7FF1" w:rsidRDefault="00C42291">
      <w:r>
        <w:t>Također, inspekcija zaštite okoliša ima otvorenih više upravnih postupaka u kojima je rješenjem naređeno uklanjanje otpada i koja će se morati izvršiti putem treće osobe ako izvršenik ne postupi po rješenju. Radi  se o različitim vrstama i količini otpada s različitim cijenama zbrinjavanja pojedinih vrsta otpada (cijene zbrinjavanja otpada su visoke) pri čemu na navedenu cijenu utječe način i mjesto zbrinjavanja otpada.</w:t>
      </w:r>
    </w:p>
    <w:p w14:paraId="3D4E3E56" w14:textId="77777777" w:rsidR="004A7FF1" w:rsidRDefault="00C42291">
      <w:pPr>
        <w:pStyle w:val="Naslov8"/>
        <w:jc w:val="left"/>
      </w:pPr>
      <w:r>
        <w:lastRenderedPageBreak/>
        <w:t>Pokazatelji rezultata</w:t>
      </w:r>
    </w:p>
    <w:tbl>
      <w:tblPr>
        <w:tblStyle w:val="StilTablice"/>
        <w:tblW w:w="10206" w:type="dxa"/>
        <w:jc w:val="center"/>
        <w:tblLook w:val="04A0" w:firstRow="1" w:lastRow="0" w:firstColumn="1" w:lastColumn="0" w:noHBand="0" w:noVBand="1"/>
      </w:tblPr>
      <w:tblGrid>
        <w:gridCol w:w="2264"/>
        <w:gridCol w:w="2264"/>
        <w:gridCol w:w="956"/>
        <w:gridCol w:w="925"/>
        <w:gridCol w:w="1022"/>
        <w:gridCol w:w="925"/>
        <w:gridCol w:w="925"/>
        <w:gridCol w:w="925"/>
      </w:tblGrid>
      <w:tr w:rsidR="004A7FF1" w14:paraId="367BE670" w14:textId="77777777">
        <w:trPr>
          <w:jc w:val="center"/>
        </w:trPr>
        <w:tc>
          <w:tcPr>
            <w:tcW w:w="2245" w:type="dxa"/>
            <w:shd w:val="clear" w:color="auto" w:fill="B5C0D8"/>
          </w:tcPr>
          <w:p w14:paraId="7DBA38E3" w14:textId="77777777" w:rsidR="004A7FF1" w:rsidRDefault="00C42291">
            <w:pPr>
              <w:jc w:val="center"/>
            </w:pPr>
            <w:r>
              <w:t>Pokazatelj rezultata</w:t>
            </w:r>
          </w:p>
        </w:tc>
        <w:tc>
          <w:tcPr>
            <w:tcW w:w="2245" w:type="dxa"/>
            <w:shd w:val="clear" w:color="auto" w:fill="B5C0D8"/>
          </w:tcPr>
          <w:p w14:paraId="6C255FE3" w14:textId="77777777" w:rsidR="004A7FF1" w:rsidRDefault="00C42291">
            <w:pPr>
              <w:pStyle w:val="CellHeader"/>
              <w:jc w:val="center"/>
            </w:pPr>
            <w:r>
              <w:rPr>
                <w:rFonts w:cs="Times New Roman"/>
              </w:rPr>
              <w:t>Definicija</w:t>
            </w:r>
          </w:p>
        </w:tc>
        <w:tc>
          <w:tcPr>
            <w:tcW w:w="918" w:type="dxa"/>
            <w:shd w:val="clear" w:color="auto" w:fill="B5C0D8"/>
          </w:tcPr>
          <w:p w14:paraId="70DC7861" w14:textId="77777777" w:rsidR="004A7FF1" w:rsidRDefault="00C42291">
            <w:pPr>
              <w:pStyle w:val="CellHeader"/>
              <w:jc w:val="center"/>
            </w:pPr>
            <w:r>
              <w:rPr>
                <w:rFonts w:cs="Times New Roman"/>
              </w:rPr>
              <w:t>Jedinica</w:t>
            </w:r>
          </w:p>
        </w:tc>
        <w:tc>
          <w:tcPr>
            <w:tcW w:w="918" w:type="dxa"/>
            <w:shd w:val="clear" w:color="auto" w:fill="B5C0D8"/>
          </w:tcPr>
          <w:p w14:paraId="55031740" w14:textId="77777777" w:rsidR="004A7FF1" w:rsidRDefault="00C42291">
            <w:pPr>
              <w:pStyle w:val="CellHeader"/>
              <w:jc w:val="center"/>
            </w:pPr>
            <w:r>
              <w:rPr>
                <w:rFonts w:cs="Times New Roman"/>
              </w:rPr>
              <w:t>Polazna vrijednost</w:t>
            </w:r>
          </w:p>
        </w:tc>
        <w:tc>
          <w:tcPr>
            <w:tcW w:w="918" w:type="dxa"/>
            <w:shd w:val="clear" w:color="auto" w:fill="B5C0D8"/>
          </w:tcPr>
          <w:p w14:paraId="729FCF62" w14:textId="77777777" w:rsidR="004A7FF1" w:rsidRDefault="00C42291">
            <w:pPr>
              <w:pStyle w:val="CellHeader"/>
              <w:jc w:val="center"/>
            </w:pPr>
            <w:r>
              <w:rPr>
                <w:rFonts w:cs="Times New Roman"/>
              </w:rPr>
              <w:t>Izvor podataka</w:t>
            </w:r>
          </w:p>
        </w:tc>
        <w:tc>
          <w:tcPr>
            <w:tcW w:w="918" w:type="dxa"/>
            <w:shd w:val="clear" w:color="auto" w:fill="B5C0D8"/>
          </w:tcPr>
          <w:p w14:paraId="77E3DA55" w14:textId="77777777" w:rsidR="004A7FF1" w:rsidRDefault="00C42291">
            <w:pPr>
              <w:pStyle w:val="CellHeader"/>
              <w:jc w:val="center"/>
            </w:pPr>
            <w:r>
              <w:rPr>
                <w:rFonts w:cs="Times New Roman"/>
              </w:rPr>
              <w:t>Ciljana vrijednost (2024.)</w:t>
            </w:r>
          </w:p>
        </w:tc>
        <w:tc>
          <w:tcPr>
            <w:tcW w:w="918" w:type="dxa"/>
            <w:shd w:val="clear" w:color="auto" w:fill="B5C0D8"/>
          </w:tcPr>
          <w:p w14:paraId="7B3BF945" w14:textId="77777777" w:rsidR="004A7FF1" w:rsidRDefault="00C42291">
            <w:pPr>
              <w:pStyle w:val="CellHeader"/>
              <w:jc w:val="center"/>
            </w:pPr>
            <w:r>
              <w:rPr>
                <w:rFonts w:cs="Times New Roman"/>
              </w:rPr>
              <w:t>Ciljana vrijednost (2025.)</w:t>
            </w:r>
          </w:p>
        </w:tc>
        <w:tc>
          <w:tcPr>
            <w:tcW w:w="918" w:type="dxa"/>
            <w:shd w:val="clear" w:color="auto" w:fill="B5C0D8"/>
          </w:tcPr>
          <w:p w14:paraId="46D6B8CA" w14:textId="77777777" w:rsidR="004A7FF1" w:rsidRDefault="00C42291">
            <w:pPr>
              <w:pStyle w:val="CellHeader"/>
              <w:jc w:val="center"/>
            </w:pPr>
            <w:r>
              <w:rPr>
                <w:rFonts w:cs="Times New Roman"/>
              </w:rPr>
              <w:t>Ciljana vrijednost (2026.)</w:t>
            </w:r>
          </w:p>
        </w:tc>
      </w:tr>
      <w:tr w:rsidR="004A7FF1" w14:paraId="2C9662E8" w14:textId="77777777">
        <w:trPr>
          <w:jc w:val="center"/>
        </w:trPr>
        <w:tc>
          <w:tcPr>
            <w:tcW w:w="2245" w:type="dxa"/>
            <w:vAlign w:val="top"/>
          </w:tcPr>
          <w:p w14:paraId="4A443459" w14:textId="77777777" w:rsidR="004A7FF1" w:rsidRDefault="00C42291">
            <w:pPr>
              <w:pStyle w:val="CellColumn"/>
              <w:jc w:val="left"/>
            </w:pPr>
            <w:r>
              <w:rPr>
                <w:rFonts w:cs="Times New Roman"/>
              </w:rPr>
              <w:t>Broj obavljenih inspekcijskih nadzora inspektora zaštite okoliša</w:t>
            </w:r>
          </w:p>
        </w:tc>
        <w:tc>
          <w:tcPr>
            <w:tcW w:w="2245" w:type="dxa"/>
            <w:vAlign w:val="top"/>
          </w:tcPr>
          <w:p w14:paraId="3599161F" w14:textId="77777777" w:rsidR="004A7FF1" w:rsidRDefault="00C42291">
            <w:pPr>
              <w:pStyle w:val="CellColumn"/>
              <w:jc w:val="left"/>
            </w:pPr>
            <w:r>
              <w:rPr>
                <w:rFonts w:cs="Times New Roman"/>
              </w:rPr>
              <w:t>Provedeni inspekcijski nadzori zaštite okoliša</w:t>
            </w:r>
          </w:p>
        </w:tc>
        <w:tc>
          <w:tcPr>
            <w:tcW w:w="918" w:type="dxa"/>
          </w:tcPr>
          <w:p w14:paraId="4CF26A4B" w14:textId="77777777" w:rsidR="004A7FF1" w:rsidRDefault="00C42291">
            <w:pPr>
              <w:jc w:val="center"/>
            </w:pPr>
            <w:r>
              <w:t>Broj nadzora</w:t>
            </w:r>
          </w:p>
        </w:tc>
        <w:tc>
          <w:tcPr>
            <w:tcW w:w="918" w:type="dxa"/>
          </w:tcPr>
          <w:p w14:paraId="0AE4A095" w14:textId="77777777" w:rsidR="004A7FF1" w:rsidRDefault="00C42291">
            <w:pPr>
              <w:jc w:val="center"/>
            </w:pPr>
            <w:r>
              <w:t>4700</w:t>
            </w:r>
          </w:p>
        </w:tc>
        <w:tc>
          <w:tcPr>
            <w:tcW w:w="918" w:type="dxa"/>
          </w:tcPr>
          <w:p w14:paraId="7FF125BA" w14:textId="77777777" w:rsidR="004A7FF1" w:rsidRDefault="00C42291">
            <w:pPr>
              <w:pStyle w:val="CellColumn"/>
              <w:jc w:val="center"/>
            </w:pPr>
            <w:r>
              <w:rPr>
                <w:rFonts w:cs="Times New Roman"/>
              </w:rPr>
              <w:t>Godišnje izvješće o radu inspekcije zaštite okoliša</w:t>
            </w:r>
          </w:p>
        </w:tc>
        <w:tc>
          <w:tcPr>
            <w:tcW w:w="918" w:type="dxa"/>
          </w:tcPr>
          <w:p w14:paraId="61415A36" w14:textId="77777777" w:rsidR="004A7FF1" w:rsidRDefault="00C42291">
            <w:pPr>
              <w:jc w:val="center"/>
            </w:pPr>
            <w:r>
              <w:t>4800</w:t>
            </w:r>
          </w:p>
        </w:tc>
        <w:tc>
          <w:tcPr>
            <w:tcW w:w="918" w:type="dxa"/>
          </w:tcPr>
          <w:p w14:paraId="232EBD62" w14:textId="77777777" w:rsidR="004A7FF1" w:rsidRDefault="00C42291">
            <w:pPr>
              <w:jc w:val="center"/>
            </w:pPr>
            <w:r>
              <w:t>4900</w:t>
            </w:r>
          </w:p>
        </w:tc>
        <w:tc>
          <w:tcPr>
            <w:tcW w:w="918" w:type="dxa"/>
          </w:tcPr>
          <w:p w14:paraId="5324246E" w14:textId="77777777" w:rsidR="004A7FF1" w:rsidRDefault="00C42291">
            <w:pPr>
              <w:jc w:val="center"/>
            </w:pPr>
            <w:r>
              <w:t>5000</w:t>
            </w:r>
          </w:p>
        </w:tc>
      </w:tr>
      <w:tr w:rsidR="004A7FF1" w14:paraId="1A9A5549" w14:textId="77777777">
        <w:trPr>
          <w:jc w:val="center"/>
        </w:trPr>
        <w:tc>
          <w:tcPr>
            <w:tcW w:w="2245" w:type="dxa"/>
            <w:vAlign w:val="top"/>
          </w:tcPr>
          <w:p w14:paraId="205D3B0B" w14:textId="77777777" w:rsidR="004A7FF1" w:rsidRDefault="00C42291">
            <w:pPr>
              <w:pStyle w:val="CellColumn"/>
              <w:jc w:val="left"/>
            </w:pPr>
            <w:r>
              <w:rPr>
                <w:rFonts w:cs="Times New Roman"/>
              </w:rPr>
              <w:t>Broj izrađenih smjernica i standardnih operativnih postupaka za inspektore zaštite okoliša</w:t>
            </w:r>
          </w:p>
        </w:tc>
        <w:tc>
          <w:tcPr>
            <w:tcW w:w="2245" w:type="dxa"/>
            <w:vAlign w:val="top"/>
          </w:tcPr>
          <w:p w14:paraId="33AEE9E4" w14:textId="77777777" w:rsidR="004A7FF1" w:rsidRDefault="00C42291">
            <w:pPr>
              <w:pStyle w:val="CellColumn"/>
              <w:jc w:val="left"/>
            </w:pPr>
            <w:r>
              <w:rPr>
                <w:rFonts w:cs="Times New Roman"/>
              </w:rPr>
              <w:t>Izrađene smjernice i standardni operativni postupci u cilju učinkovitijeg i ujednačenog postupanja inspektora zaštite okoliša</w:t>
            </w:r>
          </w:p>
        </w:tc>
        <w:tc>
          <w:tcPr>
            <w:tcW w:w="918" w:type="dxa"/>
          </w:tcPr>
          <w:p w14:paraId="584FA1F3" w14:textId="77777777" w:rsidR="004A7FF1" w:rsidRDefault="00C42291">
            <w:pPr>
              <w:jc w:val="center"/>
            </w:pPr>
            <w:r>
              <w:t>Broj smjernica/ naputaka</w:t>
            </w:r>
          </w:p>
        </w:tc>
        <w:tc>
          <w:tcPr>
            <w:tcW w:w="918" w:type="dxa"/>
          </w:tcPr>
          <w:p w14:paraId="0204C41E" w14:textId="77777777" w:rsidR="004A7FF1" w:rsidRDefault="00C42291">
            <w:pPr>
              <w:jc w:val="center"/>
            </w:pPr>
            <w:r>
              <w:t>10</w:t>
            </w:r>
          </w:p>
        </w:tc>
        <w:tc>
          <w:tcPr>
            <w:tcW w:w="918" w:type="dxa"/>
          </w:tcPr>
          <w:p w14:paraId="0BE46867" w14:textId="77777777" w:rsidR="004A7FF1" w:rsidRDefault="00C42291">
            <w:pPr>
              <w:pStyle w:val="CellColumn"/>
              <w:jc w:val="center"/>
            </w:pPr>
            <w:r>
              <w:rPr>
                <w:rFonts w:cs="Times New Roman"/>
              </w:rPr>
              <w:t>Inspekcija zaštite okoliša u Središnjem uredu</w:t>
            </w:r>
          </w:p>
        </w:tc>
        <w:tc>
          <w:tcPr>
            <w:tcW w:w="918" w:type="dxa"/>
          </w:tcPr>
          <w:p w14:paraId="5485DF0E" w14:textId="77777777" w:rsidR="004A7FF1" w:rsidRDefault="00C42291">
            <w:pPr>
              <w:jc w:val="center"/>
            </w:pPr>
            <w:r>
              <w:t>10</w:t>
            </w:r>
          </w:p>
        </w:tc>
        <w:tc>
          <w:tcPr>
            <w:tcW w:w="918" w:type="dxa"/>
          </w:tcPr>
          <w:p w14:paraId="2ECB104B" w14:textId="77777777" w:rsidR="004A7FF1" w:rsidRDefault="00C42291">
            <w:pPr>
              <w:jc w:val="center"/>
            </w:pPr>
            <w:r>
              <w:t>10</w:t>
            </w:r>
          </w:p>
        </w:tc>
        <w:tc>
          <w:tcPr>
            <w:tcW w:w="918" w:type="dxa"/>
          </w:tcPr>
          <w:p w14:paraId="3F3CCD3C" w14:textId="77777777" w:rsidR="004A7FF1" w:rsidRDefault="00C42291">
            <w:pPr>
              <w:jc w:val="center"/>
            </w:pPr>
            <w:r>
              <w:t>10</w:t>
            </w:r>
          </w:p>
        </w:tc>
      </w:tr>
      <w:tr w:rsidR="004A7FF1" w14:paraId="36D501BE" w14:textId="77777777">
        <w:trPr>
          <w:jc w:val="center"/>
        </w:trPr>
        <w:tc>
          <w:tcPr>
            <w:tcW w:w="2245" w:type="dxa"/>
            <w:vAlign w:val="top"/>
          </w:tcPr>
          <w:p w14:paraId="2DC686DF" w14:textId="77777777" w:rsidR="004A7FF1" w:rsidRDefault="00C42291">
            <w:pPr>
              <w:pStyle w:val="CellColumn"/>
              <w:jc w:val="left"/>
            </w:pPr>
            <w:r>
              <w:rPr>
                <w:rFonts w:cs="Times New Roman"/>
              </w:rPr>
              <w:t>Izrađena izvješća o radu</w:t>
            </w:r>
          </w:p>
        </w:tc>
        <w:tc>
          <w:tcPr>
            <w:tcW w:w="2245" w:type="dxa"/>
            <w:vAlign w:val="top"/>
          </w:tcPr>
          <w:p w14:paraId="3430D914" w14:textId="77777777" w:rsidR="004A7FF1" w:rsidRDefault="00C42291">
            <w:pPr>
              <w:pStyle w:val="CellColumn"/>
              <w:jc w:val="left"/>
            </w:pPr>
            <w:r>
              <w:rPr>
                <w:rFonts w:cs="Times New Roman"/>
              </w:rPr>
              <w:t>Izrađena izvješća o radu inspekcije zaštite okoliša</w:t>
            </w:r>
          </w:p>
        </w:tc>
        <w:tc>
          <w:tcPr>
            <w:tcW w:w="918" w:type="dxa"/>
          </w:tcPr>
          <w:p w14:paraId="5104935B" w14:textId="77777777" w:rsidR="004A7FF1" w:rsidRDefault="00C42291">
            <w:pPr>
              <w:jc w:val="center"/>
            </w:pPr>
            <w:r>
              <w:t>Postotak</w:t>
            </w:r>
          </w:p>
        </w:tc>
        <w:tc>
          <w:tcPr>
            <w:tcW w:w="918" w:type="dxa"/>
          </w:tcPr>
          <w:p w14:paraId="3795E1A7" w14:textId="77777777" w:rsidR="004A7FF1" w:rsidRDefault="00C42291">
            <w:pPr>
              <w:jc w:val="center"/>
            </w:pPr>
            <w:r>
              <w:t>100</w:t>
            </w:r>
          </w:p>
        </w:tc>
        <w:tc>
          <w:tcPr>
            <w:tcW w:w="918" w:type="dxa"/>
          </w:tcPr>
          <w:p w14:paraId="0BFE841C" w14:textId="77777777" w:rsidR="004A7FF1" w:rsidRDefault="00C42291">
            <w:pPr>
              <w:pStyle w:val="CellColumn"/>
              <w:jc w:val="center"/>
            </w:pPr>
            <w:r>
              <w:rPr>
                <w:rFonts w:cs="Times New Roman"/>
              </w:rPr>
              <w:t>Inspekcija zaštite okoliša u Središnjem uredu</w:t>
            </w:r>
          </w:p>
        </w:tc>
        <w:tc>
          <w:tcPr>
            <w:tcW w:w="918" w:type="dxa"/>
          </w:tcPr>
          <w:p w14:paraId="3E1EE1BE" w14:textId="77777777" w:rsidR="004A7FF1" w:rsidRDefault="00C42291">
            <w:pPr>
              <w:jc w:val="center"/>
            </w:pPr>
            <w:r>
              <w:t>100</w:t>
            </w:r>
          </w:p>
        </w:tc>
        <w:tc>
          <w:tcPr>
            <w:tcW w:w="918" w:type="dxa"/>
          </w:tcPr>
          <w:p w14:paraId="41C6F902" w14:textId="77777777" w:rsidR="004A7FF1" w:rsidRDefault="00C42291">
            <w:pPr>
              <w:jc w:val="center"/>
            </w:pPr>
            <w:r>
              <w:t>100</w:t>
            </w:r>
          </w:p>
        </w:tc>
        <w:tc>
          <w:tcPr>
            <w:tcW w:w="918" w:type="dxa"/>
          </w:tcPr>
          <w:p w14:paraId="094BAA68" w14:textId="77777777" w:rsidR="004A7FF1" w:rsidRDefault="00C42291">
            <w:pPr>
              <w:jc w:val="center"/>
            </w:pPr>
            <w:r>
              <w:t>100</w:t>
            </w:r>
          </w:p>
        </w:tc>
      </w:tr>
    </w:tbl>
    <w:p w14:paraId="24B0A513" w14:textId="77777777" w:rsidR="004A7FF1" w:rsidRDefault="004A7FF1">
      <w:pPr>
        <w:jc w:val="left"/>
      </w:pPr>
    </w:p>
    <w:p w14:paraId="27B99595" w14:textId="77777777" w:rsidR="004A7FF1" w:rsidRDefault="00C42291">
      <w:pPr>
        <w:pStyle w:val="Naslov4"/>
      </w:pPr>
      <w:r>
        <w:t>A673021 NADZOR SIGURNOSTI PROIZVODA</w:t>
      </w:r>
    </w:p>
    <w:p w14:paraId="15AC3A24" w14:textId="77777777" w:rsidR="004A7FF1" w:rsidRDefault="00C42291">
      <w:pPr>
        <w:pStyle w:val="Naslov8"/>
        <w:jc w:val="left"/>
      </w:pPr>
      <w:r>
        <w:t>Zakonske i druge pravne osnove</w:t>
      </w:r>
    </w:p>
    <w:p w14:paraId="0B3F35B9" w14:textId="77777777" w:rsidR="004A7FF1" w:rsidRDefault="00C42291">
      <w:r>
        <w:t xml:space="preserve">-Zakon o tehničkim zahtjevima za proizvode i ocjenjivanju sukladnosti  </w:t>
      </w:r>
    </w:p>
    <w:p w14:paraId="12FCA7FE" w14:textId="77777777" w:rsidR="004A7FF1" w:rsidRDefault="00C42291">
      <w:r>
        <w:t xml:space="preserve">-Uredba (EU) 2019/1020 o nadzoru tržišta i sukladnosti proizvoda i o izmjeni Direktive 2004/42/EZ i uredbi (EZ) br. 765/2008 i (EU) br. 305/2011 </w:t>
      </w:r>
    </w:p>
    <w:p w14:paraId="01C56E14" w14:textId="77777777" w:rsidR="004A7FF1" w:rsidRDefault="00C42291">
      <w:r>
        <w:t xml:space="preserve">-Zakon o predmetima opće uporabe </w:t>
      </w:r>
    </w:p>
    <w:p w14:paraId="0E1CAE97" w14:textId="77777777" w:rsidR="004A7FF1" w:rsidRDefault="00C42291">
      <w:r>
        <w:t xml:space="preserve">-Pravilnik o sigurnosti igračaka </w:t>
      </w:r>
    </w:p>
    <w:p w14:paraId="7D62889B" w14:textId="77777777" w:rsidR="004A7FF1" w:rsidRDefault="00C42291">
      <w:r>
        <w:t xml:space="preserve">-Zakon o ograničavanju uporabe duhanskih proizvoda </w:t>
      </w:r>
    </w:p>
    <w:p w14:paraId="481FAA87" w14:textId="77777777" w:rsidR="004A7FF1" w:rsidRDefault="00C42291">
      <w:r>
        <w:t>-Zakon o općoj sigurnosti proizvoda</w:t>
      </w:r>
    </w:p>
    <w:tbl>
      <w:tblPr>
        <w:tblStyle w:val="StilTablice"/>
        <w:tblW w:w="10206" w:type="dxa"/>
        <w:jc w:val="center"/>
        <w:tblLook w:val="04A0" w:firstRow="1" w:lastRow="0" w:firstColumn="1" w:lastColumn="0" w:noHBand="0" w:noVBand="1"/>
      </w:tblPr>
      <w:tblGrid>
        <w:gridCol w:w="1475"/>
        <w:gridCol w:w="1565"/>
        <w:gridCol w:w="1549"/>
        <w:gridCol w:w="1549"/>
        <w:gridCol w:w="1549"/>
        <w:gridCol w:w="1549"/>
        <w:gridCol w:w="970"/>
      </w:tblGrid>
      <w:tr w:rsidR="004A7FF1" w14:paraId="0F6F2D4F" w14:textId="77777777">
        <w:trPr>
          <w:jc w:val="center"/>
        </w:trPr>
        <w:tc>
          <w:tcPr>
            <w:tcW w:w="1530" w:type="dxa"/>
            <w:shd w:val="clear" w:color="auto" w:fill="B5C0D8"/>
          </w:tcPr>
          <w:p w14:paraId="01DDDF94" w14:textId="77777777" w:rsidR="004A7FF1" w:rsidRDefault="00C42291">
            <w:pPr>
              <w:pStyle w:val="CellHeader"/>
              <w:jc w:val="center"/>
            </w:pPr>
            <w:r>
              <w:rPr>
                <w:rFonts w:cs="Times New Roman"/>
              </w:rPr>
              <w:t>Naziv aktivnosti</w:t>
            </w:r>
          </w:p>
        </w:tc>
        <w:tc>
          <w:tcPr>
            <w:tcW w:w="1632" w:type="dxa"/>
            <w:shd w:val="clear" w:color="auto" w:fill="B5C0D8"/>
          </w:tcPr>
          <w:p w14:paraId="37D6DEC6" w14:textId="77777777" w:rsidR="004A7FF1" w:rsidRDefault="00C42291">
            <w:pPr>
              <w:pStyle w:val="CellHeader"/>
              <w:jc w:val="center"/>
            </w:pPr>
            <w:r>
              <w:rPr>
                <w:rFonts w:cs="Times New Roman"/>
              </w:rPr>
              <w:t>Izvršenje 2022.</w:t>
            </w:r>
          </w:p>
        </w:tc>
        <w:tc>
          <w:tcPr>
            <w:tcW w:w="1632" w:type="dxa"/>
            <w:shd w:val="clear" w:color="auto" w:fill="B5C0D8"/>
          </w:tcPr>
          <w:p w14:paraId="492D19A3" w14:textId="77777777" w:rsidR="004A7FF1" w:rsidRDefault="00C42291">
            <w:pPr>
              <w:pStyle w:val="CellHeader"/>
              <w:jc w:val="center"/>
            </w:pPr>
            <w:r>
              <w:rPr>
                <w:rFonts w:cs="Times New Roman"/>
              </w:rPr>
              <w:t>Plan 2023.</w:t>
            </w:r>
          </w:p>
        </w:tc>
        <w:tc>
          <w:tcPr>
            <w:tcW w:w="1632" w:type="dxa"/>
            <w:shd w:val="clear" w:color="auto" w:fill="B5C0D8"/>
          </w:tcPr>
          <w:p w14:paraId="623D6C89" w14:textId="77777777" w:rsidR="004A7FF1" w:rsidRDefault="00C42291">
            <w:pPr>
              <w:pStyle w:val="CellHeader"/>
              <w:jc w:val="center"/>
            </w:pPr>
            <w:r>
              <w:rPr>
                <w:rFonts w:cs="Times New Roman"/>
              </w:rPr>
              <w:t>Plan 2024.</w:t>
            </w:r>
          </w:p>
        </w:tc>
        <w:tc>
          <w:tcPr>
            <w:tcW w:w="1632" w:type="dxa"/>
            <w:shd w:val="clear" w:color="auto" w:fill="B5C0D8"/>
          </w:tcPr>
          <w:p w14:paraId="6979BA4E" w14:textId="77777777" w:rsidR="004A7FF1" w:rsidRDefault="00C42291">
            <w:pPr>
              <w:pStyle w:val="CellHeader"/>
              <w:jc w:val="center"/>
            </w:pPr>
            <w:r>
              <w:rPr>
                <w:rFonts w:cs="Times New Roman"/>
              </w:rPr>
              <w:t>Plan 2025.</w:t>
            </w:r>
          </w:p>
        </w:tc>
        <w:tc>
          <w:tcPr>
            <w:tcW w:w="1632" w:type="dxa"/>
            <w:shd w:val="clear" w:color="auto" w:fill="B5C0D8"/>
          </w:tcPr>
          <w:p w14:paraId="7DED29CF" w14:textId="77777777" w:rsidR="004A7FF1" w:rsidRDefault="00C42291">
            <w:pPr>
              <w:pStyle w:val="CellHeader"/>
              <w:jc w:val="center"/>
            </w:pPr>
            <w:r>
              <w:rPr>
                <w:rFonts w:cs="Times New Roman"/>
              </w:rPr>
              <w:t>Plan 2026.</w:t>
            </w:r>
          </w:p>
        </w:tc>
        <w:tc>
          <w:tcPr>
            <w:tcW w:w="510" w:type="dxa"/>
            <w:shd w:val="clear" w:color="auto" w:fill="B5C0D8"/>
          </w:tcPr>
          <w:p w14:paraId="0E69E47C" w14:textId="77777777" w:rsidR="004A7FF1" w:rsidRDefault="00C42291">
            <w:pPr>
              <w:pStyle w:val="CellHeader"/>
              <w:jc w:val="center"/>
            </w:pPr>
            <w:r>
              <w:rPr>
                <w:rFonts w:cs="Times New Roman"/>
              </w:rPr>
              <w:t>Indeks 2024/2023</w:t>
            </w:r>
          </w:p>
        </w:tc>
      </w:tr>
      <w:tr w:rsidR="004A7FF1" w14:paraId="58DBEE6A" w14:textId="77777777">
        <w:trPr>
          <w:jc w:val="center"/>
        </w:trPr>
        <w:tc>
          <w:tcPr>
            <w:tcW w:w="1530" w:type="dxa"/>
            <w:vAlign w:val="top"/>
          </w:tcPr>
          <w:p w14:paraId="3729F562" w14:textId="77777777" w:rsidR="004A7FF1" w:rsidRDefault="00C42291">
            <w:pPr>
              <w:pStyle w:val="CellColumn"/>
              <w:jc w:val="left"/>
            </w:pPr>
            <w:r>
              <w:rPr>
                <w:rFonts w:cs="Times New Roman"/>
              </w:rPr>
              <w:t>A673021</w:t>
            </w:r>
          </w:p>
        </w:tc>
        <w:tc>
          <w:tcPr>
            <w:tcW w:w="1632" w:type="dxa"/>
            <w:vAlign w:val="top"/>
          </w:tcPr>
          <w:p w14:paraId="5FB78797" w14:textId="77777777" w:rsidR="004A7FF1" w:rsidRDefault="00C42291">
            <w:pPr>
              <w:jc w:val="right"/>
            </w:pPr>
            <w:r>
              <w:t>2.729</w:t>
            </w:r>
          </w:p>
        </w:tc>
        <w:tc>
          <w:tcPr>
            <w:tcW w:w="1632" w:type="dxa"/>
            <w:vAlign w:val="top"/>
          </w:tcPr>
          <w:p w14:paraId="1ED9A7A4" w14:textId="77777777" w:rsidR="004A7FF1" w:rsidRDefault="00C42291">
            <w:pPr>
              <w:jc w:val="right"/>
            </w:pPr>
            <w:r>
              <w:t>16.193</w:t>
            </w:r>
          </w:p>
        </w:tc>
        <w:tc>
          <w:tcPr>
            <w:tcW w:w="1632" w:type="dxa"/>
            <w:vAlign w:val="top"/>
          </w:tcPr>
          <w:p w14:paraId="1F00F4C1" w14:textId="77777777" w:rsidR="004A7FF1" w:rsidRDefault="00C42291">
            <w:pPr>
              <w:jc w:val="right"/>
            </w:pPr>
            <w:r>
              <w:t>26.197</w:t>
            </w:r>
          </w:p>
        </w:tc>
        <w:tc>
          <w:tcPr>
            <w:tcW w:w="1632" w:type="dxa"/>
            <w:vAlign w:val="top"/>
          </w:tcPr>
          <w:p w14:paraId="02BA501B" w14:textId="77777777" w:rsidR="004A7FF1" w:rsidRDefault="00C42291">
            <w:pPr>
              <w:jc w:val="right"/>
            </w:pPr>
            <w:r>
              <w:t>13.273</w:t>
            </w:r>
          </w:p>
        </w:tc>
        <w:tc>
          <w:tcPr>
            <w:tcW w:w="1632" w:type="dxa"/>
            <w:vAlign w:val="top"/>
          </w:tcPr>
          <w:p w14:paraId="409FD3EE" w14:textId="77777777" w:rsidR="004A7FF1" w:rsidRDefault="00C42291">
            <w:pPr>
              <w:jc w:val="right"/>
            </w:pPr>
            <w:r>
              <w:t>13.273</w:t>
            </w:r>
          </w:p>
        </w:tc>
        <w:tc>
          <w:tcPr>
            <w:tcW w:w="510" w:type="dxa"/>
            <w:vAlign w:val="top"/>
          </w:tcPr>
          <w:p w14:paraId="4E922D2D" w14:textId="77777777" w:rsidR="004A7FF1" w:rsidRDefault="00C42291">
            <w:pPr>
              <w:jc w:val="right"/>
            </w:pPr>
            <w:r>
              <w:t>161,8</w:t>
            </w:r>
          </w:p>
        </w:tc>
      </w:tr>
    </w:tbl>
    <w:p w14:paraId="085634E6" w14:textId="77777777" w:rsidR="004A7FF1" w:rsidRDefault="004A7FF1">
      <w:pPr>
        <w:jc w:val="left"/>
      </w:pPr>
    </w:p>
    <w:p w14:paraId="6E380D9B" w14:textId="77777777" w:rsidR="004A7FF1" w:rsidRDefault="00C42291">
      <w:r>
        <w:t xml:space="preserve">Europska komisija u cilju jačanja koordinacije aktivnosti nadzora tržišta između država članica i osiguravanja potrošačima dostupnosti sigurnih proizvoda na zajedničkom tržištu kontinuirano potiče i financira aktivnosti zajedničkog nadzora tržišta u pogledu sigurnosti proizvoda, pri čemu tijelima za nadzor tržišta upućuje poziv za sudjelovanje u aktivnostima u okviru projekata CASP (Coordinated Activities for the Safety of Products – Koordinirane aktivnosti za sigurnost proizvoda). Sukladno tome, Europska komisija je tek najavila upućivanje poziva za iskaz interesa prema državama članicama za novi projekt CASP2023 i to u okviru završenog projekta CAP2022 te u okviru sastanaka radne skupine Mreže Unije za sukladnost proizvoda (EUPCN), a u koji bi se tržišna inspekcija uključila ovisno konkretnim aktivnostima projekta sukladno djelokrugu. Pri tome je cilj planiranih aktivnosti identifikacija potencijalno nesukladnih proizvoda na tržištu koji mogu predstavljati rizik za sigurnost potrošača te njihovo uklanjanje sa zajedničkog EU tržišta, a prema predviđenom planu Europske komisije najavljenim projektom CAP2023 bili bi obuhvaćeni nadzori proizvoda iz sektora opreme namijenje djeci te električnih proizvoda s aspekta zahtjeva za električnu opremu namijenjenu uporabi unutar određenih naponskih granica te je trajanje projekta predviđeno kroz razdoblje od 18 mjeseci.  </w:t>
      </w:r>
    </w:p>
    <w:p w14:paraId="776EDA08" w14:textId="77777777" w:rsidR="004A7FF1" w:rsidRDefault="00C42291">
      <w:r>
        <w:lastRenderedPageBreak/>
        <w:t xml:space="preserve">S obzirom d nije poznat točan datum projekta (Europska komisija predviđa za početak 2024. godine), kao i konkreten broj aktivnosti te uzoraka proizvoda koji bi se uzimali s tržišta u svrhu njihova ispitivanja na sukladnost s propisanim zahtjevima, sredstva planirana za ovu aktivnost za 2024. godinu utrošila bi se za potrebe transporta uzoraka proizvoda u akreditirane laboratorije u EU u svrhu njihovog ispitivanja i potrebe kupnje uzoraka proizvoda u slučaju kada je potrebno uzeti uzorke proizvoda sa tržišta koji se prodaju online putem ili kada je potrebno uzeti veći broj primjeraka istog proizvoda za jedan uzorak, što može predstavljati financijsko opterećenje gospodarskom subjektu kod kojeg se provodi uzorkovanje. Iznos je procijenjen za transport i/ili kupnju oko 25 uzoraka na temelju dosadašnjih provedenih CASP projekata, a za 2025. i 2026. godinu planiraju se sredstva u jednakom omjeru imajući u vidu kako Europska komisija planira provedbu istih zajedničkih projekata i u narednim razdobljima u koje svrhe je potrebno planirati sredstva radi mogućnosti budućih sudjelovanja u istim projektima, a uzimajući u obzir da je u projektu moguće sudjelovati i u više aktivnosti ovisno o područjima proizvoda koji su obuhvaćeni, a koje definira Europska komisija. Pri tome se skreće pažnja da sva utrošena sredstva kroz projekt refundira Europska komisija na temelju izdanih računa za transport i/ili kupnju uzoraka. </w:t>
      </w:r>
    </w:p>
    <w:p w14:paraId="72AF664E" w14:textId="77777777" w:rsidR="004A7FF1" w:rsidRDefault="00C42291">
      <w:r>
        <w:t>Jednako tako će se i sanitarna inspekcija sukladno pozivu Europske komisije koji će biti raspisan za 2024. godinu uključiti u isti u okviru svoje nadležnosti. Planirana sredstva će se utrošiti za potrebe kupovine uzoraka i transporta uzoraka u ispitne laboratorije u maksimalnom iznosu od 1.300,00 eura.  Napominjemo da sva utrošena sredstva refundira Europska komisija na temelju izdanih računa za transport i/ili kupnju uzoraka.</w:t>
      </w:r>
    </w:p>
    <w:p w14:paraId="4DF4B2D9" w14:textId="77777777" w:rsidR="004A7FF1" w:rsidRDefault="00C42291">
      <w:pPr>
        <w:pStyle w:val="Naslov8"/>
        <w:jc w:val="left"/>
      </w:pPr>
      <w:r>
        <w:t>Pokazatelji rezultata</w:t>
      </w:r>
    </w:p>
    <w:tbl>
      <w:tblPr>
        <w:tblStyle w:val="StilTablice"/>
        <w:tblW w:w="10206" w:type="dxa"/>
        <w:jc w:val="center"/>
        <w:tblLook w:val="04A0" w:firstRow="1" w:lastRow="0" w:firstColumn="1" w:lastColumn="0" w:noHBand="0" w:noVBand="1"/>
      </w:tblPr>
      <w:tblGrid>
        <w:gridCol w:w="2292"/>
        <w:gridCol w:w="2292"/>
        <w:gridCol w:w="937"/>
        <w:gridCol w:w="937"/>
        <w:gridCol w:w="937"/>
        <w:gridCol w:w="937"/>
        <w:gridCol w:w="937"/>
        <w:gridCol w:w="937"/>
      </w:tblGrid>
      <w:tr w:rsidR="004A7FF1" w14:paraId="18D7C0A0" w14:textId="77777777">
        <w:trPr>
          <w:jc w:val="center"/>
        </w:trPr>
        <w:tc>
          <w:tcPr>
            <w:tcW w:w="2245" w:type="dxa"/>
            <w:shd w:val="clear" w:color="auto" w:fill="B5C0D8"/>
          </w:tcPr>
          <w:p w14:paraId="3F7E1A0E" w14:textId="77777777" w:rsidR="004A7FF1" w:rsidRDefault="00C42291">
            <w:pPr>
              <w:jc w:val="center"/>
            </w:pPr>
            <w:r>
              <w:t>Pokazatelj rezultata</w:t>
            </w:r>
          </w:p>
        </w:tc>
        <w:tc>
          <w:tcPr>
            <w:tcW w:w="2245" w:type="dxa"/>
            <w:shd w:val="clear" w:color="auto" w:fill="B5C0D8"/>
          </w:tcPr>
          <w:p w14:paraId="63BA6227" w14:textId="77777777" w:rsidR="004A7FF1" w:rsidRDefault="00C42291">
            <w:pPr>
              <w:pStyle w:val="CellHeader"/>
              <w:jc w:val="center"/>
            </w:pPr>
            <w:r>
              <w:rPr>
                <w:rFonts w:cs="Times New Roman"/>
              </w:rPr>
              <w:t>Definicija</w:t>
            </w:r>
          </w:p>
        </w:tc>
        <w:tc>
          <w:tcPr>
            <w:tcW w:w="918" w:type="dxa"/>
            <w:shd w:val="clear" w:color="auto" w:fill="B5C0D8"/>
          </w:tcPr>
          <w:p w14:paraId="00544E8F" w14:textId="77777777" w:rsidR="004A7FF1" w:rsidRDefault="00C42291">
            <w:pPr>
              <w:pStyle w:val="CellHeader"/>
              <w:jc w:val="center"/>
            </w:pPr>
            <w:r>
              <w:rPr>
                <w:rFonts w:cs="Times New Roman"/>
              </w:rPr>
              <w:t>Jedinica</w:t>
            </w:r>
          </w:p>
        </w:tc>
        <w:tc>
          <w:tcPr>
            <w:tcW w:w="918" w:type="dxa"/>
            <w:shd w:val="clear" w:color="auto" w:fill="B5C0D8"/>
          </w:tcPr>
          <w:p w14:paraId="3D567600" w14:textId="77777777" w:rsidR="004A7FF1" w:rsidRDefault="00C42291">
            <w:pPr>
              <w:pStyle w:val="CellHeader"/>
              <w:jc w:val="center"/>
            </w:pPr>
            <w:r>
              <w:rPr>
                <w:rFonts w:cs="Times New Roman"/>
              </w:rPr>
              <w:t>Polazna vrijednost</w:t>
            </w:r>
          </w:p>
        </w:tc>
        <w:tc>
          <w:tcPr>
            <w:tcW w:w="918" w:type="dxa"/>
            <w:shd w:val="clear" w:color="auto" w:fill="B5C0D8"/>
          </w:tcPr>
          <w:p w14:paraId="38F9C4BB" w14:textId="77777777" w:rsidR="004A7FF1" w:rsidRDefault="00C42291">
            <w:pPr>
              <w:pStyle w:val="CellHeader"/>
              <w:jc w:val="center"/>
            </w:pPr>
            <w:r>
              <w:rPr>
                <w:rFonts w:cs="Times New Roman"/>
              </w:rPr>
              <w:t>Izvor podataka</w:t>
            </w:r>
          </w:p>
        </w:tc>
        <w:tc>
          <w:tcPr>
            <w:tcW w:w="918" w:type="dxa"/>
            <w:shd w:val="clear" w:color="auto" w:fill="B5C0D8"/>
          </w:tcPr>
          <w:p w14:paraId="60FCFCEB" w14:textId="77777777" w:rsidR="004A7FF1" w:rsidRDefault="00C42291">
            <w:pPr>
              <w:pStyle w:val="CellHeader"/>
              <w:jc w:val="center"/>
            </w:pPr>
            <w:r>
              <w:rPr>
                <w:rFonts w:cs="Times New Roman"/>
              </w:rPr>
              <w:t>Ciljana vrijednost (2024.)</w:t>
            </w:r>
          </w:p>
        </w:tc>
        <w:tc>
          <w:tcPr>
            <w:tcW w:w="918" w:type="dxa"/>
            <w:shd w:val="clear" w:color="auto" w:fill="B5C0D8"/>
          </w:tcPr>
          <w:p w14:paraId="647FAC0B" w14:textId="77777777" w:rsidR="004A7FF1" w:rsidRDefault="00C42291">
            <w:pPr>
              <w:pStyle w:val="CellHeader"/>
              <w:jc w:val="center"/>
            </w:pPr>
            <w:r>
              <w:rPr>
                <w:rFonts w:cs="Times New Roman"/>
              </w:rPr>
              <w:t>Ciljana vrijednost (2025.)</w:t>
            </w:r>
          </w:p>
        </w:tc>
        <w:tc>
          <w:tcPr>
            <w:tcW w:w="918" w:type="dxa"/>
            <w:shd w:val="clear" w:color="auto" w:fill="B5C0D8"/>
          </w:tcPr>
          <w:p w14:paraId="10F818B0" w14:textId="77777777" w:rsidR="004A7FF1" w:rsidRDefault="00C42291">
            <w:pPr>
              <w:pStyle w:val="CellHeader"/>
              <w:jc w:val="center"/>
            </w:pPr>
            <w:r>
              <w:rPr>
                <w:rFonts w:cs="Times New Roman"/>
              </w:rPr>
              <w:t>Ciljana vrijednost (2026.)</w:t>
            </w:r>
          </w:p>
        </w:tc>
      </w:tr>
      <w:tr w:rsidR="004A7FF1" w14:paraId="2BAE930D" w14:textId="77777777">
        <w:trPr>
          <w:jc w:val="center"/>
        </w:trPr>
        <w:tc>
          <w:tcPr>
            <w:tcW w:w="2245" w:type="dxa"/>
            <w:vAlign w:val="top"/>
          </w:tcPr>
          <w:p w14:paraId="280585CE" w14:textId="77777777" w:rsidR="004A7FF1" w:rsidRDefault="00C42291">
            <w:pPr>
              <w:pStyle w:val="CellColumn"/>
              <w:jc w:val="left"/>
            </w:pPr>
            <w:r>
              <w:rPr>
                <w:rFonts w:cs="Times New Roman"/>
              </w:rPr>
              <w:t>Udio uzorkovanih proizvoda u planiranom broju uzoraka proizvoda  (dječja oprema)</w:t>
            </w:r>
          </w:p>
        </w:tc>
        <w:tc>
          <w:tcPr>
            <w:tcW w:w="2245" w:type="dxa"/>
            <w:vAlign w:val="top"/>
          </w:tcPr>
          <w:p w14:paraId="76EAF4D8" w14:textId="77777777" w:rsidR="004A7FF1" w:rsidRDefault="00C42291">
            <w:pPr>
              <w:pStyle w:val="CellColumn"/>
              <w:jc w:val="left"/>
            </w:pPr>
            <w:r>
              <w:rPr>
                <w:rFonts w:cs="Times New Roman"/>
              </w:rPr>
              <w:t>Ispitivanjem proizvoda uzorkovanih sa tržišta u okviru projekta provjerava se njihova sukladnost s propisanim zahtjevima kako bi se omogućilo uklanjanje s tržišta nesukladnih proizvoda i osiguralo da potrošačima na tržištu budu dostupni samo sigurni proizvodi</w:t>
            </w:r>
          </w:p>
        </w:tc>
        <w:tc>
          <w:tcPr>
            <w:tcW w:w="918" w:type="dxa"/>
          </w:tcPr>
          <w:p w14:paraId="2EBFE779" w14:textId="77777777" w:rsidR="004A7FF1" w:rsidRDefault="00C42291">
            <w:pPr>
              <w:jc w:val="center"/>
            </w:pPr>
            <w:r>
              <w:t>Postotak</w:t>
            </w:r>
          </w:p>
        </w:tc>
        <w:tc>
          <w:tcPr>
            <w:tcW w:w="918" w:type="dxa"/>
          </w:tcPr>
          <w:p w14:paraId="131FE11B" w14:textId="77777777" w:rsidR="004A7FF1" w:rsidRDefault="00C42291">
            <w:pPr>
              <w:jc w:val="center"/>
            </w:pPr>
            <w:r>
              <w:t>0</w:t>
            </w:r>
          </w:p>
        </w:tc>
        <w:tc>
          <w:tcPr>
            <w:tcW w:w="918" w:type="dxa"/>
          </w:tcPr>
          <w:p w14:paraId="490B7B9C" w14:textId="77777777" w:rsidR="004A7FF1" w:rsidRDefault="00C42291">
            <w:pPr>
              <w:pStyle w:val="CellColumn"/>
              <w:jc w:val="center"/>
            </w:pPr>
            <w:r>
              <w:rPr>
                <w:rFonts w:cs="Times New Roman"/>
              </w:rPr>
              <w:t>Izvješće Europske komisije o provedbi projekta CASP 2023</w:t>
            </w:r>
          </w:p>
        </w:tc>
        <w:tc>
          <w:tcPr>
            <w:tcW w:w="918" w:type="dxa"/>
          </w:tcPr>
          <w:p w14:paraId="5891EF5B" w14:textId="77777777" w:rsidR="004A7FF1" w:rsidRDefault="00C42291">
            <w:pPr>
              <w:jc w:val="center"/>
            </w:pPr>
            <w:r>
              <w:t>100</w:t>
            </w:r>
          </w:p>
        </w:tc>
        <w:tc>
          <w:tcPr>
            <w:tcW w:w="918" w:type="dxa"/>
          </w:tcPr>
          <w:p w14:paraId="71984E2C" w14:textId="77777777" w:rsidR="004A7FF1" w:rsidRDefault="00C42291">
            <w:pPr>
              <w:jc w:val="center"/>
            </w:pPr>
            <w:r>
              <w:t>0</w:t>
            </w:r>
          </w:p>
        </w:tc>
        <w:tc>
          <w:tcPr>
            <w:tcW w:w="918" w:type="dxa"/>
          </w:tcPr>
          <w:p w14:paraId="7AFBDF33" w14:textId="77777777" w:rsidR="004A7FF1" w:rsidRDefault="00C42291">
            <w:pPr>
              <w:jc w:val="center"/>
            </w:pPr>
            <w:r>
              <w:t>0</w:t>
            </w:r>
          </w:p>
        </w:tc>
      </w:tr>
      <w:tr w:rsidR="004A7FF1" w14:paraId="1210F87A" w14:textId="77777777">
        <w:trPr>
          <w:jc w:val="center"/>
        </w:trPr>
        <w:tc>
          <w:tcPr>
            <w:tcW w:w="2245" w:type="dxa"/>
            <w:vAlign w:val="top"/>
          </w:tcPr>
          <w:p w14:paraId="634C265F" w14:textId="77777777" w:rsidR="004A7FF1" w:rsidRDefault="00C42291">
            <w:pPr>
              <w:pStyle w:val="CellColumn"/>
              <w:jc w:val="left"/>
            </w:pPr>
            <w:r>
              <w:rPr>
                <w:rFonts w:cs="Times New Roman"/>
              </w:rPr>
              <w:t>Udio uzorkovanih proizvoda u planiranom broju uzoraka proizvoda  (električna oprema)</w:t>
            </w:r>
          </w:p>
        </w:tc>
        <w:tc>
          <w:tcPr>
            <w:tcW w:w="2245" w:type="dxa"/>
            <w:vAlign w:val="top"/>
          </w:tcPr>
          <w:p w14:paraId="7B6903BE" w14:textId="77777777" w:rsidR="004A7FF1" w:rsidRDefault="00C42291">
            <w:pPr>
              <w:pStyle w:val="CellColumn"/>
              <w:jc w:val="left"/>
            </w:pPr>
            <w:r>
              <w:rPr>
                <w:rFonts w:cs="Times New Roman"/>
              </w:rPr>
              <w:t>Ispitivanjem proizvoda uzorkovanih sa tržišta u okviru projekta provjerava se njihova sukladnost s propisanim zahtjevima kako bi se omogućilo uklanjanje s tržišta nesukladnih proizvoda i osiguralo da potrošačima na tržištu budu dostupni samo sigurni proizvodi</w:t>
            </w:r>
          </w:p>
        </w:tc>
        <w:tc>
          <w:tcPr>
            <w:tcW w:w="918" w:type="dxa"/>
          </w:tcPr>
          <w:p w14:paraId="06C18C2F" w14:textId="77777777" w:rsidR="004A7FF1" w:rsidRDefault="00C42291">
            <w:pPr>
              <w:jc w:val="center"/>
            </w:pPr>
            <w:r>
              <w:t>Postotak</w:t>
            </w:r>
          </w:p>
        </w:tc>
        <w:tc>
          <w:tcPr>
            <w:tcW w:w="918" w:type="dxa"/>
          </w:tcPr>
          <w:p w14:paraId="4A2B99CD" w14:textId="77777777" w:rsidR="004A7FF1" w:rsidRDefault="00C42291">
            <w:pPr>
              <w:jc w:val="center"/>
            </w:pPr>
            <w:r>
              <w:t>0</w:t>
            </w:r>
          </w:p>
        </w:tc>
        <w:tc>
          <w:tcPr>
            <w:tcW w:w="918" w:type="dxa"/>
          </w:tcPr>
          <w:p w14:paraId="05B82631" w14:textId="77777777" w:rsidR="004A7FF1" w:rsidRDefault="00C42291">
            <w:pPr>
              <w:pStyle w:val="CellColumn"/>
              <w:jc w:val="center"/>
            </w:pPr>
            <w:r>
              <w:rPr>
                <w:rFonts w:cs="Times New Roman"/>
              </w:rPr>
              <w:t>Izvješće Europske komisije o provedbi projekta CASP 2023</w:t>
            </w:r>
          </w:p>
        </w:tc>
        <w:tc>
          <w:tcPr>
            <w:tcW w:w="918" w:type="dxa"/>
          </w:tcPr>
          <w:p w14:paraId="049DDBAE" w14:textId="77777777" w:rsidR="004A7FF1" w:rsidRDefault="00C42291">
            <w:pPr>
              <w:jc w:val="center"/>
            </w:pPr>
            <w:r>
              <w:t>100</w:t>
            </w:r>
          </w:p>
        </w:tc>
        <w:tc>
          <w:tcPr>
            <w:tcW w:w="918" w:type="dxa"/>
          </w:tcPr>
          <w:p w14:paraId="37014654" w14:textId="77777777" w:rsidR="004A7FF1" w:rsidRDefault="00C42291">
            <w:pPr>
              <w:jc w:val="center"/>
            </w:pPr>
            <w:r>
              <w:t>0</w:t>
            </w:r>
          </w:p>
        </w:tc>
        <w:tc>
          <w:tcPr>
            <w:tcW w:w="918" w:type="dxa"/>
          </w:tcPr>
          <w:p w14:paraId="46F3CD1F" w14:textId="77777777" w:rsidR="004A7FF1" w:rsidRDefault="00C42291">
            <w:pPr>
              <w:jc w:val="center"/>
            </w:pPr>
            <w:r>
              <w:t>0</w:t>
            </w:r>
          </w:p>
        </w:tc>
      </w:tr>
    </w:tbl>
    <w:p w14:paraId="30192E79" w14:textId="77777777" w:rsidR="004A7FF1" w:rsidRDefault="004A7FF1">
      <w:pPr>
        <w:jc w:val="left"/>
      </w:pPr>
    </w:p>
    <w:p w14:paraId="51189CBE" w14:textId="77777777" w:rsidR="00B872ED" w:rsidRPr="00FE4B89" w:rsidRDefault="00B872ED" w:rsidP="00B872ED"/>
    <w:p w14:paraId="3841F51F" w14:textId="77777777" w:rsidR="00B872ED" w:rsidRDefault="00B872ED" w:rsidP="00B872ED">
      <w:pPr>
        <w:pStyle w:val="Naslov4"/>
      </w:pPr>
      <w:r>
        <w:t>A673022 SLUŽBENE KONTROLE</w:t>
      </w:r>
    </w:p>
    <w:p w14:paraId="556586C5" w14:textId="77777777" w:rsidR="00B872ED" w:rsidRDefault="00B872ED" w:rsidP="00B872ED">
      <w:pPr>
        <w:pStyle w:val="Naslov8"/>
        <w:jc w:val="left"/>
      </w:pPr>
      <w:r>
        <w:t>Zakonske i druge pravne osnove</w:t>
      </w:r>
    </w:p>
    <w:p w14:paraId="32F00B9C" w14:textId="77777777" w:rsidR="00B872ED" w:rsidRDefault="00B872ED" w:rsidP="00B872ED">
      <w:r>
        <w:t xml:space="preserve">-Zakon o službenim kontrolama i drugim službenim aktivnostima koje se provode sukladno propisima o hrani, hrani za životinje, o zdravlju i dobrobiti životinja, zdravlju bilja i sredstvima za zaštitu bilja (članak 62) </w:t>
      </w:r>
    </w:p>
    <w:p w14:paraId="3DFA238F" w14:textId="77777777" w:rsidR="00B872ED" w:rsidRDefault="00B872ED" w:rsidP="00B872ED">
      <w:r>
        <w:t xml:space="preserve">-Pravilnik o visini pristojbi i naknada za službene kontrole koji preuzimaju odredbe Uredbe (EU) br. 625/2017 (Uredba o službenim kontrolama). Navedenim Pravilnikom propisane su pristojbe i naknade, preuzete iz Uredbe, i obveznici plaćanja tih pristojbi i naknada su subjekti u poslovanju s hranom životinjskog podrijetla, hranom za životinje i nusproizvodima. Pravilnikom su također propisane i naknade odnosno troškovi nastali prilikom obavljanja </w:t>
      </w:r>
      <w:r>
        <w:lastRenderedPageBreak/>
        <w:t>službenih kontrola koji su, putem ugovora o dodjeli određenih poslova službenih kontrola i drugih službenih aktivnosti, povjereni delegiranim tijelima odnosno akreditiranim veterinarskim organizacijama</w:t>
      </w:r>
    </w:p>
    <w:tbl>
      <w:tblPr>
        <w:tblStyle w:val="StilTablice"/>
        <w:tblW w:w="10206" w:type="dxa"/>
        <w:jc w:val="center"/>
        <w:tblLook w:val="04A0" w:firstRow="1" w:lastRow="0" w:firstColumn="1" w:lastColumn="0" w:noHBand="0" w:noVBand="1"/>
      </w:tblPr>
      <w:tblGrid>
        <w:gridCol w:w="1461"/>
        <w:gridCol w:w="1555"/>
        <w:gridCol w:w="1555"/>
        <w:gridCol w:w="1555"/>
        <w:gridCol w:w="1555"/>
        <w:gridCol w:w="1555"/>
        <w:gridCol w:w="970"/>
      </w:tblGrid>
      <w:tr w:rsidR="00B872ED" w14:paraId="08CB2C4A" w14:textId="77777777" w:rsidTr="00C554E2">
        <w:trPr>
          <w:jc w:val="center"/>
        </w:trPr>
        <w:tc>
          <w:tcPr>
            <w:tcW w:w="1530" w:type="dxa"/>
            <w:shd w:val="clear" w:color="auto" w:fill="B5C0D8"/>
          </w:tcPr>
          <w:p w14:paraId="4032EE28" w14:textId="77777777" w:rsidR="00B872ED" w:rsidRDefault="00B872ED" w:rsidP="00C554E2">
            <w:pPr>
              <w:pStyle w:val="CellHeader"/>
              <w:jc w:val="center"/>
            </w:pPr>
            <w:r>
              <w:rPr>
                <w:rFonts w:cs="Times New Roman"/>
              </w:rPr>
              <w:t>Naziv aktivnosti</w:t>
            </w:r>
          </w:p>
        </w:tc>
        <w:tc>
          <w:tcPr>
            <w:tcW w:w="1632" w:type="dxa"/>
            <w:shd w:val="clear" w:color="auto" w:fill="B5C0D8"/>
          </w:tcPr>
          <w:p w14:paraId="7CE739C3" w14:textId="77777777" w:rsidR="00B872ED" w:rsidRDefault="00B872ED" w:rsidP="00C554E2">
            <w:pPr>
              <w:pStyle w:val="CellHeader"/>
              <w:jc w:val="center"/>
            </w:pPr>
            <w:r>
              <w:rPr>
                <w:rFonts w:cs="Times New Roman"/>
              </w:rPr>
              <w:t>Izvršenje 2022.</w:t>
            </w:r>
          </w:p>
        </w:tc>
        <w:tc>
          <w:tcPr>
            <w:tcW w:w="1632" w:type="dxa"/>
            <w:shd w:val="clear" w:color="auto" w:fill="B5C0D8"/>
          </w:tcPr>
          <w:p w14:paraId="4D9FE7BF" w14:textId="77777777" w:rsidR="00B872ED" w:rsidRDefault="00B872ED" w:rsidP="00C554E2">
            <w:pPr>
              <w:pStyle w:val="CellHeader"/>
              <w:jc w:val="center"/>
            </w:pPr>
            <w:r>
              <w:rPr>
                <w:rFonts w:cs="Times New Roman"/>
              </w:rPr>
              <w:t>Plan 2023.</w:t>
            </w:r>
          </w:p>
        </w:tc>
        <w:tc>
          <w:tcPr>
            <w:tcW w:w="1632" w:type="dxa"/>
            <w:shd w:val="clear" w:color="auto" w:fill="B5C0D8"/>
          </w:tcPr>
          <w:p w14:paraId="0A8A789C" w14:textId="77777777" w:rsidR="00B872ED" w:rsidRDefault="00B872ED" w:rsidP="00C554E2">
            <w:pPr>
              <w:pStyle w:val="CellHeader"/>
              <w:jc w:val="center"/>
            </w:pPr>
            <w:r>
              <w:rPr>
                <w:rFonts w:cs="Times New Roman"/>
              </w:rPr>
              <w:t>Plan 2024.</w:t>
            </w:r>
          </w:p>
        </w:tc>
        <w:tc>
          <w:tcPr>
            <w:tcW w:w="1632" w:type="dxa"/>
            <w:shd w:val="clear" w:color="auto" w:fill="B5C0D8"/>
          </w:tcPr>
          <w:p w14:paraId="7D41B390" w14:textId="77777777" w:rsidR="00B872ED" w:rsidRDefault="00B872ED" w:rsidP="00C554E2">
            <w:pPr>
              <w:pStyle w:val="CellHeader"/>
              <w:jc w:val="center"/>
            </w:pPr>
            <w:r>
              <w:rPr>
                <w:rFonts w:cs="Times New Roman"/>
              </w:rPr>
              <w:t>Plan 2025.</w:t>
            </w:r>
          </w:p>
        </w:tc>
        <w:tc>
          <w:tcPr>
            <w:tcW w:w="1632" w:type="dxa"/>
            <w:shd w:val="clear" w:color="auto" w:fill="B5C0D8"/>
          </w:tcPr>
          <w:p w14:paraId="5C9292AC" w14:textId="77777777" w:rsidR="00B872ED" w:rsidRDefault="00B872ED" w:rsidP="00C554E2">
            <w:pPr>
              <w:pStyle w:val="CellHeader"/>
              <w:jc w:val="center"/>
            </w:pPr>
            <w:r>
              <w:rPr>
                <w:rFonts w:cs="Times New Roman"/>
              </w:rPr>
              <w:t>Plan 2026.</w:t>
            </w:r>
          </w:p>
        </w:tc>
        <w:tc>
          <w:tcPr>
            <w:tcW w:w="510" w:type="dxa"/>
            <w:shd w:val="clear" w:color="auto" w:fill="B5C0D8"/>
          </w:tcPr>
          <w:p w14:paraId="7E11B7F5" w14:textId="77777777" w:rsidR="00B872ED" w:rsidRDefault="00B872ED" w:rsidP="00C554E2">
            <w:pPr>
              <w:pStyle w:val="CellHeader"/>
              <w:jc w:val="center"/>
            </w:pPr>
            <w:r>
              <w:rPr>
                <w:rFonts w:cs="Times New Roman"/>
              </w:rPr>
              <w:t>Indeks 2024/2023</w:t>
            </w:r>
          </w:p>
        </w:tc>
      </w:tr>
      <w:tr w:rsidR="00B872ED" w14:paraId="53C0AB9D" w14:textId="77777777" w:rsidTr="00C554E2">
        <w:trPr>
          <w:jc w:val="center"/>
        </w:trPr>
        <w:tc>
          <w:tcPr>
            <w:tcW w:w="1530" w:type="dxa"/>
            <w:vAlign w:val="top"/>
          </w:tcPr>
          <w:p w14:paraId="756ED724" w14:textId="77777777" w:rsidR="00B872ED" w:rsidRDefault="00B872ED" w:rsidP="00C554E2">
            <w:pPr>
              <w:pStyle w:val="CellColumn"/>
              <w:jc w:val="left"/>
            </w:pPr>
            <w:r>
              <w:rPr>
                <w:rFonts w:cs="Times New Roman"/>
              </w:rPr>
              <w:t>A673022</w:t>
            </w:r>
          </w:p>
        </w:tc>
        <w:tc>
          <w:tcPr>
            <w:tcW w:w="1632" w:type="dxa"/>
            <w:vAlign w:val="top"/>
          </w:tcPr>
          <w:p w14:paraId="38406C20" w14:textId="77777777" w:rsidR="00B872ED" w:rsidRDefault="00B872ED" w:rsidP="00C554E2">
            <w:pPr>
              <w:jc w:val="right"/>
            </w:pPr>
            <w:r>
              <w:t>7.255.108</w:t>
            </w:r>
          </w:p>
        </w:tc>
        <w:tc>
          <w:tcPr>
            <w:tcW w:w="1632" w:type="dxa"/>
            <w:vAlign w:val="top"/>
          </w:tcPr>
          <w:p w14:paraId="1A80DEC5" w14:textId="77777777" w:rsidR="00B872ED" w:rsidRDefault="00B872ED" w:rsidP="00C554E2">
            <w:pPr>
              <w:jc w:val="right"/>
            </w:pPr>
            <w:r>
              <w:t>9.558.908</w:t>
            </w:r>
          </w:p>
        </w:tc>
        <w:tc>
          <w:tcPr>
            <w:tcW w:w="1632" w:type="dxa"/>
            <w:vAlign w:val="top"/>
          </w:tcPr>
          <w:p w14:paraId="5CEEE88E" w14:textId="77777777" w:rsidR="00B872ED" w:rsidRDefault="00B872ED" w:rsidP="00C554E2">
            <w:pPr>
              <w:jc w:val="right"/>
            </w:pPr>
            <w:r>
              <w:t>9.807.889</w:t>
            </w:r>
          </w:p>
        </w:tc>
        <w:tc>
          <w:tcPr>
            <w:tcW w:w="1632" w:type="dxa"/>
            <w:vAlign w:val="top"/>
          </w:tcPr>
          <w:p w14:paraId="545C8A3E" w14:textId="77777777" w:rsidR="00B872ED" w:rsidRDefault="00B872ED" w:rsidP="00C554E2">
            <w:pPr>
              <w:jc w:val="right"/>
            </w:pPr>
            <w:r>
              <w:t>9.667.887</w:t>
            </w:r>
          </w:p>
        </w:tc>
        <w:tc>
          <w:tcPr>
            <w:tcW w:w="1632" w:type="dxa"/>
            <w:vAlign w:val="top"/>
          </w:tcPr>
          <w:p w14:paraId="7D30539F" w14:textId="77777777" w:rsidR="00B872ED" w:rsidRDefault="00B872ED" w:rsidP="00C554E2">
            <w:pPr>
              <w:jc w:val="right"/>
            </w:pPr>
            <w:r>
              <w:t>9.706.683</w:t>
            </w:r>
          </w:p>
        </w:tc>
        <w:tc>
          <w:tcPr>
            <w:tcW w:w="510" w:type="dxa"/>
            <w:vAlign w:val="top"/>
          </w:tcPr>
          <w:p w14:paraId="4204F891" w14:textId="77777777" w:rsidR="00B872ED" w:rsidRDefault="00B872ED" w:rsidP="00C554E2">
            <w:pPr>
              <w:jc w:val="right"/>
            </w:pPr>
            <w:r>
              <w:t>102,6</w:t>
            </w:r>
          </w:p>
        </w:tc>
      </w:tr>
    </w:tbl>
    <w:p w14:paraId="2184972E" w14:textId="77777777" w:rsidR="00B872ED" w:rsidRDefault="00B872ED" w:rsidP="00B872ED">
      <w:pPr>
        <w:jc w:val="left"/>
      </w:pPr>
    </w:p>
    <w:p w14:paraId="76A87DD3" w14:textId="77777777" w:rsidR="00B872ED" w:rsidRDefault="00B872ED" w:rsidP="00B872ED">
      <w:r>
        <w:t xml:space="preserve">Sredstva s ove aktivnosti prvenstveno su predviđena za provođenje službenih kontrola u svim fazama proizvodnje, prerade i distribucije hrane ili hrane za životinje, te na životinjama i proizvodima životinjskog podrijetla, kao i nusproizvodima životinjskog podrijetla koji nisu za prehranu ljudi na temelju analize rizika i s odgovarajućom učestalosti, prema godišnjem planu kontrola, sve u cilju učinkovite kontrole zdravstvene ispravnosti, higijene i kakvoće hrane i hrane za životinje odnosno stavljanja na tržište sigurne hrane s čim se ujedno osigurava zaštita zdravlja ljudi, životinja i interesa potrošača.  </w:t>
      </w:r>
    </w:p>
    <w:p w14:paraId="38EFF7BF" w14:textId="77777777" w:rsidR="00B872ED" w:rsidRDefault="00B872ED" w:rsidP="00B872ED">
      <w:r>
        <w:t xml:space="preserve"> </w:t>
      </w:r>
    </w:p>
    <w:p w14:paraId="69002A09" w14:textId="77777777" w:rsidR="00B872ED" w:rsidRDefault="00B872ED" w:rsidP="00B872ED">
      <w:r>
        <w:t xml:space="preserve">Stoga se prijedlogom proračuna kroz ovu aktivnost planira nabava potrebne opreme za uzorkovanje, vozila, prijenosnih hladnjaka, termometara, sondi, plombi, računala i računalne opreme, održavanje graničnih prijelaza, troškove edukacije inspektora, troškove za provođenje analiza za službene kontrole i monitoringe, izrada plakata, panoa i letaka za granične prijelaze kako je propisano člankom 49. stavkom 1. točkom g. Zakona o službenim kontrolama, izradu i provođenje plana praćenja pošiljaka iz uvoza u skladu s člankom 6. stavkom 1. alinejom 13. Zakona o službenim kontrolama. </w:t>
      </w:r>
    </w:p>
    <w:p w14:paraId="46597855" w14:textId="77777777" w:rsidR="00B872ED" w:rsidRDefault="00B872ED" w:rsidP="00B872ED">
      <w:r>
        <w:t xml:space="preserve"> </w:t>
      </w:r>
    </w:p>
    <w:p w14:paraId="716A1F48" w14:textId="77777777" w:rsidR="00B872ED" w:rsidRDefault="00B872ED" w:rsidP="00B872ED">
      <w:r>
        <w:t xml:space="preserve">Također sredstva na ovoj aktivnosti koriste i poljoprivredna i fitosanitarna inspekcija za provedbu službenih kontrola svaka u svom djelokrugu. </w:t>
      </w:r>
    </w:p>
    <w:p w14:paraId="0F3EF529" w14:textId="77777777" w:rsidR="00B872ED" w:rsidRDefault="00B872ED" w:rsidP="00B872ED">
      <w:r>
        <w:t xml:space="preserve"> </w:t>
      </w:r>
    </w:p>
    <w:p w14:paraId="7D4FDDDD" w14:textId="77777777" w:rsidR="00B872ED" w:rsidRDefault="00B872ED" w:rsidP="00B872ED">
      <w:r>
        <w:t xml:space="preserve">Zakonom o službenim kontrolama, člankom 6. stavkom 1. alineja 3., dana je nadležnost DIRH-u da za obavljanje pojedinih poslova službenih kontrola može ovlastiti delegirana tijela. U skladu s člankom 62. stavak 4., sredstva prikupljena pristojbama i naknadama za obavljene službene kontrole mogu se koristiti za financiranje troškova koji proizlaze iz povjeravanja zadaća službenih kontrola delegiranim tijelima. Budući da se sva sredstva prikupljena uplatama pristojbi i naknada u sklopu koriste za isplatu obavljenih poslova delegiranim tijelima, za potrebe provedbe službenih kontrola u dijelu veterinarske inspekcije potrebno je osigurati dodatna sredstva na izvoru 11 - Opći prihodi i primici za provedbu aktivnosti koje proizlaze iz odredbi Zakona o službenim kontrolama i prethodno navedenog Pravilnika. </w:t>
      </w:r>
    </w:p>
    <w:p w14:paraId="7BFF5B6C" w14:textId="77777777" w:rsidR="00B872ED" w:rsidRDefault="00B872ED" w:rsidP="00B872ED">
      <w:r>
        <w:t xml:space="preserve"> </w:t>
      </w:r>
    </w:p>
    <w:p w14:paraId="0E632D0F" w14:textId="77777777" w:rsidR="00B872ED" w:rsidRDefault="00B872ED" w:rsidP="00B872ED">
      <w:r>
        <w:t xml:space="preserve">Kako su Zakonom o službenim kontrolama poslovi financiranja službenih kontrola, delegiranja poslova službenih kontrola delegiranim tijelima, izrade nacionalnog općeg plana upravljanja krizom, upravljanje RASFF sustavom prešli iz nadležnosti Ministarstva poljoprivrede u nadležnost Državnog inspektorata, jednako tako su preuzete obveze po navedenim poslovima, a koji se u najvećoj mjeri odnose na održavanje i nadogradnju informacijskih sustava, nabavu opreme i instrumenata koja služi veterinarskoj inspekciji i graničnoj veterinarskoj inspekciji u provođenju službenih kontrola (kompleti opreme za obavljanje pregleda mesa na Trichinellu, čitaći mikročipova, oprema za uzorkovanje hrane za životinje, sredstva za umjeravanje instrumenata). Jednako tako, za primjenu općeg plana upravljanja krizom predviđenog u članku 55. Uredbe (EZ) 178/2002, države članice su obvezne u skladu s člankom 115. Uredbe o službenim kontrolama (EU) 2017/625 izraditi operativne planove upravljanja krizom (članak 115. stavak 2.) u području sigurnosti hrane i hrane za životinje s ciljem predviđanja mjera koje se moraju provesti bez odgađanja, kada se utvrdi da hrana ili hrana za životinje predstavlja ozbiljnu opasnost za ljude ili životinje bilo izravno ili putem okoliša. Člankom 6. stavkom 1. alinejom 15. i člankom 70. Zakona o službenim kontrolama, Državnom inspektoratu propisana je obveza izrade nacionalnog općeg plana upravljanja krizom u području sigurnosti hrane i hrane za životinje koji bi se aktivirao u slučaju da hrana i/ili hrana za životinje predstavlja ozbiljnu opasnost po ljude i životinje. Kako bi se omogućilo funkcioniranje nacionalnog kriznog stožera iz članka 70. Zakona o službenim kontrolama i provedba Plana u slučaju eventualnog izbijanja krize, u skladu s praksom drugih država članica, potrebno je imati osigurana određena financijska sredstva u državnom proračunu S tim u vezi, na ovoj stavci potrebno je osigurati novčana sredstava za redovito i nesmetano funkcioniranje i obavljanje službenih kontrola. Osim ovih sredstava potrebno je osigurati i sredstva za provedbu članka 7. stavka 3. Pravilnika o visini pristojbi i naknada za službene kontrole vezano uz troškove pretraga na trihinelu. </w:t>
      </w:r>
    </w:p>
    <w:p w14:paraId="0DC43E71" w14:textId="77777777" w:rsidR="00B872ED" w:rsidRDefault="00B872ED" w:rsidP="00B872ED">
      <w:r>
        <w:lastRenderedPageBreak/>
        <w:t xml:space="preserve"> </w:t>
      </w:r>
    </w:p>
    <w:p w14:paraId="3C9C2C0C" w14:textId="77777777" w:rsidR="00B872ED" w:rsidRDefault="00B872ED" w:rsidP="00B872ED">
      <w:r>
        <w:t xml:space="preserve">Sredstva s ove aktivnosti namijenjena su i za provedbu službene kontrole i inspekcijskih nadzora iz djelokruga sanitarne inspekcije. Sredstva za provođenje službenih kontrola hrane u svim fazama proizvodnje, prerade i distribucije osigurana su na izvoru 43 jer je člankom 62. stavak 3. propisano da za obavljanje službenih kontrola i drugih službenih aktivnosti Državni inspektorat naplaćuje pristojbe i naknade u skladu s odredbama glave II. poglavlja VI. Uredbe (EU) 2017/625. Sanitarna inspekcija donosi godišnji plan uzorkovanja hrane i u tu svrhu su joj potrebna sredstva u iznosu od 100.000,00 eura, te dodatnih 30.000,00 za potrebe hitnih uzorkovanja u slučaju trovanja, prijava ili incidenata. </w:t>
      </w:r>
    </w:p>
    <w:p w14:paraId="4E52AEA3" w14:textId="77777777" w:rsidR="00B872ED" w:rsidRDefault="00B872ED" w:rsidP="00B872ED">
      <w:r>
        <w:t xml:space="preserve">Sukladno Uredbi 625/2017 koja je preuzeta Zakonom o službenim kontrolama sanitarna inspekcija obavezna je dostavljati izvješća o nadzorima i uzorkovanjima Europskoj komisiji i Europskoj agenciji za sigurnost hrane. U svrhu prikupljanja podataka za predmetna izvješće nužno je osigurati funkcioniranje aplikativnih sustava SISSI i LIMS te njihovu redovitu nadogradnju i u tu svrhu potrebno je osigurati godišnje 300.000 eura za potrebe sanitarne inspekcije. </w:t>
      </w:r>
    </w:p>
    <w:p w14:paraId="55027ABB" w14:textId="77777777" w:rsidR="00B872ED" w:rsidRDefault="00B872ED" w:rsidP="00B872ED">
      <w:r>
        <w:t xml:space="preserve"> </w:t>
      </w:r>
    </w:p>
    <w:p w14:paraId="5B2B37C4" w14:textId="77777777" w:rsidR="00B872ED" w:rsidRDefault="00B872ED" w:rsidP="00B872ED">
      <w:r>
        <w:t xml:space="preserve"> </w:t>
      </w:r>
    </w:p>
    <w:p w14:paraId="24074042" w14:textId="77777777" w:rsidR="00B872ED" w:rsidRDefault="00B872ED" w:rsidP="00B872ED">
      <w:r>
        <w:t xml:space="preserve">U cilju službenih kontrola koje provode poljoprivredni inspektori najveći dio financijskih sredstava koje je potrebno osigurati u proračunu odnosi se na provedbu uzorkovanja i troškove koji iz toga proizlaze u svezi usluga provedbe laboratorijskih analiza i dostave uzoraka u laboratorije. To se osobito odnosi na provedbu skupih analiza poput dokazivanja patvorenja hrane, vina i ostalog u službenim laboratorijima izvan Republike Hrvatske odnosno u drugim zemljama članicama Europske unije kada je potrebno osigurati dodatna sredstva u iznimnim situacijama poput uočenih određenih promjena na tržištu tijekom godine, zaprimljenih predstavki prijavitelja ili sumnji inspektora tijekom provedbe nadzora kada je nužno uzorkovanje i mimo planiranih aktivnosti. </w:t>
      </w:r>
    </w:p>
    <w:p w14:paraId="4538E696" w14:textId="77777777" w:rsidR="00B872ED" w:rsidRDefault="00B872ED" w:rsidP="00B872ED">
      <w:r>
        <w:t xml:space="preserve"> </w:t>
      </w:r>
    </w:p>
    <w:p w14:paraId="32F2F4B1" w14:textId="77777777" w:rsidR="00B872ED" w:rsidRDefault="00B872ED" w:rsidP="00B872ED">
      <w:r>
        <w:t>Što se tiče fitosanitarne inspekcije predloženim se iznosom osiguravaju financijska sredstva podmirenje troškova analize uzoraka bilja, biljnih proizvoda, drugih predmeta, štetnih organizama i njihovih prenositelja (vektora) koje u skladu s važećim propisima iz područja biljnoga zdravstva i službenih kontrola uzima fitosanitarna inspekcija tijekom obavljanja nadzora u međunarodnom prometu (predizvoz, izvoz i reeksport) i u unutrašnjosti (fitosanitarni pregled bilja na mjestu proizvodnje, inspekcijski nadzor tijekom premještanja bilja na tržištu, praćenje štetnih organizma i dr.) te ih dostavlja na analizu službenim laboratoriju i druge troškove za provođenje analiza za službene kontrole i monitoringe. Ova aktivnost ne uključuje troškove analize uzoraka koja se obavlja u okviru službenih kontrola uvoznih pošiljaka bilja, budući da odredbama članka 39. stavka 21. troškove uzorkovanja, dostave i analize, ispitivanja ili dijagnosticiranja u svrhu službenih kontrola pri uvozu iz trećih zemalja, bez obzira na rezultate analize, ispitivanja ili dijagnosticiranja, snosi stranka izravnim plaćanjem laboratoriju osim u slučaju provedbe monitoringa odnosno plana praćenja pošiljaka iz uvoza.</w:t>
      </w:r>
    </w:p>
    <w:p w14:paraId="2DA1E8DE" w14:textId="77777777" w:rsidR="00B872ED" w:rsidRDefault="00B872ED" w:rsidP="00B872ED">
      <w:pPr>
        <w:pStyle w:val="Naslov8"/>
        <w:jc w:val="left"/>
      </w:pPr>
      <w:r>
        <w:t>Pokazatelji rezultata</w:t>
      </w:r>
    </w:p>
    <w:tbl>
      <w:tblPr>
        <w:tblStyle w:val="StilTablice"/>
        <w:tblW w:w="10206" w:type="dxa"/>
        <w:jc w:val="center"/>
        <w:tblLook w:val="04A0" w:firstRow="1" w:lastRow="0" w:firstColumn="1" w:lastColumn="0" w:noHBand="0" w:noVBand="1"/>
      </w:tblPr>
      <w:tblGrid>
        <w:gridCol w:w="2167"/>
        <w:gridCol w:w="2167"/>
        <w:gridCol w:w="908"/>
        <w:gridCol w:w="918"/>
        <w:gridCol w:w="1292"/>
        <w:gridCol w:w="918"/>
        <w:gridCol w:w="918"/>
        <w:gridCol w:w="918"/>
      </w:tblGrid>
      <w:tr w:rsidR="00B872ED" w14:paraId="78B4FD34" w14:textId="77777777" w:rsidTr="00C554E2">
        <w:trPr>
          <w:jc w:val="center"/>
        </w:trPr>
        <w:tc>
          <w:tcPr>
            <w:tcW w:w="2245" w:type="dxa"/>
            <w:shd w:val="clear" w:color="auto" w:fill="B5C0D8"/>
          </w:tcPr>
          <w:p w14:paraId="376F59D3" w14:textId="77777777" w:rsidR="00B872ED" w:rsidRDefault="00B872ED" w:rsidP="00C554E2">
            <w:pPr>
              <w:jc w:val="center"/>
            </w:pPr>
            <w:r>
              <w:t>Pokazatelj rezultata</w:t>
            </w:r>
          </w:p>
        </w:tc>
        <w:tc>
          <w:tcPr>
            <w:tcW w:w="2245" w:type="dxa"/>
            <w:shd w:val="clear" w:color="auto" w:fill="B5C0D8"/>
          </w:tcPr>
          <w:p w14:paraId="45D5D0F0" w14:textId="77777777" w:rsidR="00B872ED" w:rsidRDefault="00B872ED" w:rsidP="00C554E2">
            <w:pPr>
              <w:pStyle w:val="CellHeader"/>
              <w:jc w:val="center"/>
            </w:pPr>
            <w:r>
              <w:rPr>
                <w:rFonts w:cs="Times New Roman"/>
              </w:rPr>
              <w:t>Definicija</w:t>
            </w:r>
          </w:p>
        </w:tc>
        <w:tc>
          <w:tcPr>
            <w:tcW w:w="918" w:type="dxa"/>
            <w:shd w:val="clear" w:color="auto" w:fill="B5C0D8"/>
          </w:tcPr>
          <w:p w14:paraId="36BD667F" w14:textId="77777777" w:rsidR="00B872ED" w:rsidRDefault="00B872ED" w:rsidP="00C554E2">
            <w:pPr>
              <w:pStyle w:val="CellHeader"/>
              <w:jc w:val="center"/>
            </w:pPr>
            <w:r>
              <w:rPr>
                <w:rFonts w:cs="Times New Roman"/>
              </w:rPr>
              <w:t>Jedinica</w:t>
            </w:r>
          </w:p>
        </w:tc>
        <w:tc>
          <w:tcPr>
            <w:tcW w:w="918" w:type="dxa"/>
            <w:shd w:val="clear" w:color="auto" w:fill="B5C0D8"/>
          </w:tcPr>
          <w:p w14:paraId="1B11F1C7" w14:textId="77777777" w:rsidR="00B872ED" w:rsidRDefault="00B872ED" w:rsidP="00C554E2">
            <w:pPr>
              <w:pStyle w:val="CellHeader"/>
              <w:jc w:val="center"/>
            </w:pPr>
            <w:r>
              <w:rPr>
                <w:rFonts w:cs="Times New Roman"/>
              </w:rPr>
              <w:t>Polazna vrijednost</w:t>
            </w:r>
          </w:p>
        </w:tc>
        <w:tc>
          <w:tcPr>
            <w:tcW w:w="918" w:type="dxa"/>
            <w:shd w:val="clear" w:color="auto" w:fill="B5C0D8"/>
          </w:tcPr>
          <w:p w14:paraId="1A751864" w14:textId="77777777" w:rsidR="00B872ED" w:rsidRDefault="00B872ED" w:rsidP="00C554E2">
            <w:pPr>
              <w:pStyle w:val="CellHeader"/>
              <w:jc w:val="center"/>
            </w:pPr>
            <w:r>
              <w:rPr>
                <w:rFonts w:cs="Times New Roman"/>
              </w:rPr>
              <w:t>Izvor podataka</w:t>
            </w:r>
          </w:p>
        </w:tc>
        <w:tc>
          <w:tcPr>
            <w:tcW w:w="918" w:type="dxa"/>
            <w:shd w:val="clear" w:color="auto" w:fill="B5C0D8"/>
          </w:tcPr>
          <w:p w14:paraId="1935778B" w14:textId="77777777" w:rsidR="00B872ED" w:rsidRDefault="00B872ED" w:rsidP="00C554E2">
            <w:pPr>
              <w:pStyle w:val="CellHeader"/>
              <w:jc w:val="center"/>
            </w:pPr>
            <w:r>
              <w:rPr>
                <w:rFonts w:cs="Times New Roman"/>
              </w:rPr>
              <w:t>Ciljana vrijednost (2024.)</w:t>
            </w:r>
          </w:p>
        </w:tc>
        <w:tc>
          <w:tcPr>
            <w:tcW w:w="918" w:type="dxa"/>
            <w:shd w:val="clear" w:color="auto" w:fill="B5C0D8"/>
          </w:tcPr>
          <w:p w14:paraId="3337C05A" w14:textId="77777777" w:rsidR="00B872ED" w:rsidRDefault="00B872ED" w:rsidP="00C554E2">
            <w:pPr>
              <w:pStyle w:val="CellHeader"/>
              <w:jc w:val="center"/>
            </w:pPr>
            <w:r>
              <w:rPr>
                <w:rFonts w:cs="Times New Roman"/>
              </w:rPr>
              <w:t>Ciljana vrijednost (2025.)</w:t>
            </w:r>
          </w:p>
        </w:tc>
        <w:tc>
          <w:tcPr>
            <w:tcW w:w="918" w:type="dxa"/>
            <w:shd w:val="clear" w:color="auto" w:fill="B5C0D8"/>
          </w:tcPr>
          <w:p w14:paraId="7CDB00A7" w14:textId="77777777" w:rsidR="00B872ED" w:rsidRDefault="00B872ED" w:rsidP="00C554E2">
            <w:pPr>
              <w:pStyle w:val="CellHeader"/>
              <w:jc w:val="center"/>
            </w:pPr>
            <w:r>
              <w:rPr>
                <w:rFonts w:cs="Times New Roman"/>
              </w:rPr>
              <w:t>Ciljana vrijednost (2026.)</w:t>
            </w:r>
          </w:p>
        </w:tc>
      </w:tr>
      <w:tr w:rsidR="00B872ED" w14:paraId="25145E20" w14:textId="77777777" w:rsidTr="00C554E2">
        <w:trPr>
          <w:jc w:val="center"/>
        </w:trPr>
        <w:tc>
          <w:tcPr>
            <w:tcW w:w="2245" w:type="dxa"/>
            <w:vAlign w:val="top"/>
          </w:tcPr>
          <w:p w14:paraId="52629B84" w14:textId="77777777" w:rsidR="00B872ED" w:rsidRDefault="00B872ED" w:rsidP="00C554E2">
            <w:pPr>
              <w:pStyle w:val="CellColumn"/>
              <w:jc w:val="left"/>
            </w:pPr>
            <w:r>
              <w:rPr>
                <w:rFonts w:cs="Times New Roman"/>
              </w:rPr>
              <w:t>% provedenih inspekcijskih nadzora i kontrola veterinarskih inspektora u odnosu na planirane</w:t>
            </w:r>
          </w:p>
        </w:tc>
        <w:tc>
          <w:tcPr>
            <w:tcW w:w="2245" w:type="dxa"/>
            <w:vAlign w:val="top"/>
          </w:tcPr>
          <w:p w14:paraId="2BF4F8E3" w14:textId="77777777" w:rsidR="00B872ED" w:rsidRDefault="00B872ED" w:rsidP="00C554E2">
            <w:pPr>
              <w:pStyle w:val="CellColumn"/>
              <w:jc w:val="left"/>
            </w:pPr>
            <w:r>
              <w:rPr>
                <w:rFonts w:cs="Times New Roman"/>
              </w:rPr>
              <w:t>Provedeni inspekcijski nadzori veterinarske inspekcije</w:t>
            </w:r>
          </w:p>
        </w:tc>
        <w:tc>
          <w:tcPr>
            <w:tcW w:w="918" w:type="dxa"/>
          </w:tcPr>
          <w:p w14:paraId="6FFCDF73" w14:textId="77777777" w:rsidR="00B872ED" w:rsidRDefault="00B872ED" w:rsidP="00C554E2">
            <w:pPr>
              <w:jc w:val="center"/>
            </w:pPr>
            <w:r>
              <w:t>Postotak</w:t>
            </w:r>
          </w:p>
        </w:tc>
        <w:tc>
          <w:tcPr>
            <w:tcW w:w="918" w:type="dxa"/>
          </w:tcPr>
          <w:p w14:paraId="53152774" w14:textId="77777777" w:rsidR="00B872ED" w:rsidRDefault="00B872ED" w:rsidP="00C554E2">
            <w:pPr>
              <w:jc w:val="center"/>
            </w:pPr>
            <w:r>
              <w:t>62</w:t>
            </w:r>
          </w:p>
        </w:tc>
        <w:tc>
          <w:tcPr>
            <w:tcW w:w="918" w:type="dxa"/>
          </w:tcPr>
          <w:p w14:paraId="6D975D89" w14:textId="77777777" w:rsidR="00B872ED" w:rsidRDefault="00B872ED" w:rsidP="00C554E2">
            <w:pPr>
              <w:pStyle w:val="CellColumn"/>
              <w:jc w:val="center"/>
            </w:pPr>
            <w:r>
              <w:rPr>
                <w:rFonts w:cs="Times New Roman"/>
              </w:rPr>
              <w:t>Godišnje izvješće o radu veterinarske inspekcije</w:t>
            </w:r>
          </w:p>
        </w:tc>
        <w:tc>
          <w:tcPr>
            <w:tcW w:w="918" w:type="dxa"/>
          </w:tcPr>
          <w:p w14:paraId="62EC4D26" w14:textId="77777777" w:rsidR="00B872ED" w:rsidRDefault="00B872ED" w:rsidP="00C554E2">
            <w:pPr>
              <w:jc w:val="center"/>
            </w:pPr>
            <w:r>
              <w:t>65</w:t>
            </w:r>
          </w:p>
        </w:tc>
        <w:tc>
          <w:tcPr>
            <w:tcW w:w="918" w:type="dxa"/>
          </w:tcPr>
          <w:p w14:paraId="1E5898BA" w14:textId="77777777" w:rsidR="00B872ED" w:rsidRDefault="00B872ED" w:rsidP="00C554E2">
            <w:pPr>
              <w:jc w:val="center"/>
            </w:pPr>
            <w:r>
              <w:t>67</w:t>
            </w:r>
          </w:p>
        </w:tc>
        <w:tc>
          <w:tcPr>
            <w:tcW w:w="918" w:type="dxa"/>
          </w:tcPr>
          <w:p w14:paraId="47E7DCF4" w14:textId="77777777" w:rsidR="00B872ED" w:rsidRDefault="00B872ED" w:rsidP="00C554E2">
            <w:pPr>
              <w:jc w:val="center"/>
            </w:pPr>
            <w:r>
              <w:t>69</w:t>
            </w:r>
          </w:p>
        </w:tc>
      </w:tr>
      <w:tr w:rsidR="00B872ED" w14:paraId="0AC8791F" w14:textId="77777777" w:rsidTr="00C554E2">
        <w:trPr>
          <w:jc w:val="center"/>
        </w:trPr>
        <w:tc>
          <w:tcPr>
            <w:tcW w:w="2245" w:type="dxa"/>
            <w:vAlign w:val="top"/>
          </w:tcPr>
          <w:p w14:paraId="196BB12B" w14:textId="77777777" w:rsidR="00B872ED" w:rsidRDefault="00B872ED" w:rsidP="00C554E2">
            <w:pPr>
              <w:pStyle w:val="CellColumn"/>
              <w:jc w:val="left"/>
            </w:pPr>
            <w:r>
              <w:rPr>
                <w:rFonts w:cs="Times New Roman"/>
              </w:rPr>
              <w:t>% provedenih inspekcijskih nadzora sanitarne inspekcije u odnosu na planirane</w:t>
            </w:r>
          </w:p>
        </w:tc>
        <w:tc>
          <w:tcPr>
            <w:tcW w:w="2245" w:type="dxa"/>
            <w:vAlign w:val="top"/>
          </w:tcPr>
          <w:p w14:paraId="5378734B" w14:textId="77777777" w:rsidR="00B872ED" w:rsidRDefault="00B872ED" w:rsidP="00C554E2">
            <w:pPr>
              <w:pStyle w:val="CellColumn"/>
              <w:jc w:val="left"/>
            </w:pPr>
            <w:r>
              <w:rPr>
                <w:rFonts w:cs="Times New Roman"/>
              </w:rPr>
              <w:t>Provedeni inspekcijski nadzori IZ djelokruga sanitarne inspekcije</w:t>
            </w:r>
          </w:p>
        </w:tc>
        <w:tc>
          <w:tcPr>
            <w:tcW w:w="918" w:type="dxa"/>
          </w:tcPr>
          <w:p w14:paraId="4EEBF8AF" w14:textId="77777777" w:rsidR="00B872ED" w:rsidRDefault="00B872ED" w:rsidP="00C554E2">
            <w:pPr>
              <w:jc w:val="center"/>
            </w:pPr>
            <w:r>
              <w:t>Postotak</w:t>
            </w:r>
          </w:p>
        </w:tc>
        <w:tc>
          <w:tcPr>
            <w:tcW w:w="918" w:type="dxa"/>
          </w:tcPr>
          <w:p w14:paraId="4DB035C1" w14:textId="77777777" w:rsidR="00B872ED" w:rsidRDefault="00B872ED" w:rsidP="00C554E2">
            <w:pPr>
              <w:jc w:val="center"/>
            </w:pPr>
            <w:r>
              <w:t>100</w:t>
            </w:r>
          </w:p>
        </w:tc>
        <w:tc>
          <w:tcPr>
            <w:tcW w:w="918" w:type="dxa"/>
          </w:tcPr>
          <w:p w14:paraId="7C0B0154" w14:textId="77777777" w:rsidR="00B872ED" w:rsidRDefault="00B872ED" w:rsidP="00C554E2">
            <w:pPr>
              <w:pStyle w:val="CellColumn"/>
              <w:jc w:val="center"/>
            </w:pPr>
            <w:r>
              <w:rPr>
                <w:rFonts w:cs="Times New Roman"/>
              </w:rPr>
              <w:t>Godišnje izvješće o radu sanitarne</w:t>
            </w:r>
          </w:p>
        </w:tc>
        <w:tc>
          <w:tcPr>
            <w:tcW w:w="918" w:type="dxa"/>
          </w:tcPr>
          <w:p w14:paraId="4D3EFA03" w14:textId="77777777" w:rsidR="00B872ED" w:rsidRDefault="00B872ED" w:rsidP="00C554E2">
            <w:pPr>
              <w:jc w:val="center"/>
            </w:pPr>
            <w:r>
              <w:t>100</w:t>
            </w:r>
          </w:p>
        </w:tc>
        <w:tc>
          <w:tcPr>
            <w:tcW w:w="918" w:type="dxa"/>
          </w:tcPr>
          <w:p w14:paraId="040A20BB" w14:textId="77777777" w:rsidR="00B872ED" w:rsidRDefault="00B872ED" w:rsidP="00C554E2">
            <w:pPr>
              <w:jc w:val="center"/>
            </w:pPr>
            <w:r>
              <w:t>100</w:t>
            </w:r>
          </w:p>
        </w:tc>
        <w:tc>
          <w:tcPr>
            <w:tcW w:w="918" w:type="dxa"/>
          </w:tcPr>
          <w:p w14:paraId="13965F08" w14:textId="77777777" w:rsidR="00B872ED" w:rsidRDefault="00B872ED" w:rsidP="00C554E2">
            <w:pPr>
              <w:jc w:val="center"/>
            </w:pPr>
            <w:r>
              <w:t>100</w:t>
            </w:r>
          </w:p>
        </w:tc>
      </w:tr>
      <w:tr w:rsidR="00B872ED" w14:paraId="2BD61F41" w14:textId="77777777" w:rsidTr="00C554E2">
        <w:trPr>
          <w:jc w:val="center"/>
        </w:trPr>
        <w:tc>
          <w:tcPr>
            <w:tcW w:w="2245" w:type="dxa"/>
            <w:vAlign w:val="top"/>
          </w:tcPr>
          <w:p w14:paraId="47DB4B1D" w14:textId="77777777" w:rsidR="00B872ED" w:rsidRDefault="00B872ED" w:rsidP="00C554E2">
            <w:pPr>
              <w:pStyle w:val="CellColumn"/>
              <w:jc w:val="left"/>
            </w:pPr>
            <w:r>
              <w:rPr>
                <w:rFonts w:cs="Times New Roman"/>
              </w:rPr>
              <w:t>broj provedenih edukacija sanitarnih inspektora</w:t>
            </w:r>
          </w:p>
        </w:tc>
        <w:tc>
          <w:tcPr>
            <w:tcW w:w="2245" w:type="dxa"/>
            <w:vAlign w:val="top"/>
          </w:tcPr>
          <w:p w14:paraId="42DD81DC" w14:textId="77777777" w:rsidR="00B872ED" w:rsidRDefault="00B872ED" w:rsidP="00C554E2">
            <w:pPr>
              <w:pStyle w:val="CellColumn"/>
              <w:jc w:val="left"/>
            </w:pPr>
            <w:r>
              <w:rPr>
                <w:rFonts w:cs="Times New Roman"/>
              </w:rPr>
              <w:t>Provedene edukacije sanitarne inspekcije</w:t>
            </w:r>
          </w:p>
        </w:tc>
        <w:tc>
          <w:tcPr>
            <w:tcW w:w="918" w:type="dxa"/>
          </w:tcPr>
          <w:p w14:paraId="46CBA518" w14:textId="77777777" w:rsidR="00B872ED" w:rsidRDefault="00B872ED" w:rsidP="00C554E2">
            <w:pPr>
              <w:jc w:val="center"/>
            </w:pPr>
            <w:r>
              <w:t>Broj</w:t>
            </w:r>
          </w:p>
        </w:tc>
        <w:tc>
          <w:tcPr>
            <w:tcW w:w="918" w:type="dxa"/>
          </w:tcPr>
          <w:p w14:paraId="0D897133" w14:textId="77777777" w:rsidR="00B872ED" w:rsidRDefault="00B872ED" w:rsidP="00C554E2">
            <w:pPr>
              <w:jc w:val="center"/>
            </w:pPr>
            <w:r>
              <w:t>12</w:t>
            </w:r>
          </w:p>
        </w:tc>
        <w:tc>
          <w:tcPr>
            <w:tcW w:w="918" w:type="dxa"/>
          </w:tcPr>
          <w:p w14:paraId="6CC85F15" w14:textId="77777777" w:rsidR="00B872ED" w:rsidRDefault="00B872ED" w:rsidP="00C554E2">
            <w:pPr>
              <w:pStyle w:val="CellColumn"/>
              <w:jc w:val="center"/>
            </w:pPr>
            <w:r>
              <w:rPr>
                <w:rFonts w:cs="Times New Roman"/>
              </w:rPr>
              <w:t>Godišnje izvješće o radu sanitarne inspekcije</w:t>
            </w:r>
          </w:p>
        </w:tc>
        <w:tc>
          <w:tcPr>
            <w:tcW w:w="918" w:type="dxa"/>
          </w:tcPr>
          <w:p w14:paraId="5DF49340" w14:textId="77777777" w:rsidR="00B872ED" w:rsidRDefault="00B872ED" w:rsidP="00C554E2">
            <w:pPr>
              <w:jc w:val="center"/>
            </w:pPr>
            <w:r>
              <w:t>12</w:t>
            </w:r>
          </w:p>
        </w:tc>
        <w:tc>
          <w:tcPr>
            <w:tcW w:w="918" w:type="dxa"/>
          </w:tcPr>
          <w:p w14:paraId="0AC1EA60" w14:textId="77777777" w:rsidR="00B872ED" w:rsidRDefault="00B872ED" w:rsidP="00C554E2">
            <w:pPr>
              <w:jc w:val="center"/>
            </w:pPr>
            <w:r>
              <w:t>12</w:t>
            </w:r>
          </w:p>
        </w:tc>
        <w:tc>
          <w:tcPr>
            <w:tcW w:w="918" w:type="dxa"/>
          </w:tcPr>
          <w:p w14:paraId="4C491C79" w14:textId="77777777" w:rsidR="00B872ED" w:rsidRDefault="00B872ED" w:rsidP="00C554E2">
            <w:pPr>
              <w:jc w:val="center"/>
            </w:pPr>
            <w:r>
              <w:t>12</w:t>
            </w:r>
          </w:p>
        </w:tc>
      </w:tr>
      <w:tr w:rsidR="00B872ED" w14:paraId="51005AE7" w14:textId="77777777" w:rsidTr="00C554E2">
        <w:trPr>
          <w:jc w:val="center"/>
        </w:trPr>
        <w:tc>
          <w:tcPr>
            <w:tcW w:w="2245" w:type="dxa"/>
            <w:vAlign w:val="top"/>
          </w:tcPr>
          <w:p w14:paraId="5079DD86" w14:textId="77777777" w:rsidR="00B872ED" w:rsidRDefault="00B872ED" w:rsidP="00C554E2">
            <w:pPr>
              <w:pStyle w:val="CellColumn"/>
              <w:jc w:val="left"/>
            </w:pPr>
            <w:r>
              <w:rPr>
                <w:rFonts w:cs="Times New Roman"/>
              </w:rPr>
              <w:lastRenderedPageBreak/>
              <w:t>% provedenih inspekcijskih nadzora fitosanitarne i poljoprivredne inspekcije</w:t>
            </w:r>
          </w:p>
        </w:tc>
        <w:tc>
          <w:tcPr>
            <w:tcW w:w="2245" w:type="dxa"/>
            <w:vAlign w:val="top"/>
          </w:tcPr>
          <w:p w14:paraId="6E344082" w14:textId="77777777" w:rsidR="00B872ED" w:rsidRDefault="00B872ED" w:rsidP="00C554E2">
            <w:pPr>
              <w:pStyle w:val="CellColumn"/>
              <w:jc w:val="left"/>
            </w:pPr>
            <w:r>
              <w:rPr>
                <w:rFonts w:cs="Times New Roman"/>
              </w:rPr>
              <w:t>Provedeni inspekcijski nadzori fitosanitarne i poljoprivredne  inspekcije</w:t>
            </w:r>
          </w:p>
        </w:tc>
        <w:tc>
          <w:tcPr>
            <w:tcW w:w="918" w:type="dxa"/>
          </w:tcPr>
          <w:p w14:paraId="659BAB78" w14:textId="77777777" w:rsidR="00B872ED" w:rsidRDefault="00B872ED" w:rsidP="00C554E2">
            <w:pPr>
              <w:jc w:val="center"/>
            </w:pPr>
            <w:r>
              <w:t>Postotak</w:t>
            </w:r>
          </w:p>
        </w:tc>
        <w:tc>
          <w:tcPr>
            <w:tcW w:w="918" w:type="dxa"/>
          </w:tcPr>
          <w:p w14:paraId="200DF855" w14:textId="77777777" w:rsidR="00B872ED" w:rsidRDefault="00B872ED" w:rsidP="00C554E2">
            <w:pPr>
              <w:jc w:val="center"/>
            </w:pPr>
            <w:r>
              <w:t>50</w:t>
            </w:r>
          </w:p>
        </w:tc>
        <w:tc>
          <w:tcPr>
            <w:tcW w:w="918" w:type="dxa"/>
          </w:tcPr>
          <w:p w14:paraId="52FC9145" w14:textId="77777777" w:rsidR="00B872ED" w:rsidRDefault="00B872ED" w:rsidP="00C554E2">
            <w:pPr>
              <w:pStyle w:val="CellColumn"/>
              <w:jc w:val="center"/>
            </w:pPr>
            <w:r>
              <w:rPr>
                <w:rFonts w:cs="Times New Roman"/>
              </w:rPr>
              <w:t>Godišnje izvješće o radu fitosanitarne i poljoprivredne  inspekcije</w:t>
            </w:r>
          </w:p>
        </w:tc>
        <w:tc>
          <w:tcPr>
            <w:tcW w:w="918" w:type="dxa"/>
          </w:tcPr>
          <w:p w14:paraId="3E5DED57" w14:textId="77777777" w:rsidR="00B872ED" w:rsidRDefault="00B872ED" w:rsidP="00C554E2">
            <w:pPr>
              <w:jc w:val="center"/>
            </w:pPr>
            <w:r>
              <w:t>60</w:t>
            </w:r>
          </w:p>
        </w:tc>
        <w:tc>
          <w:tcPr>
            <w:tcW w:w="918" w:type="dxa"/>
          </w:tcPr>
          <w:p w14:paraId="34670450" w14:textId="77777777" w:rsidR="00B872ED" w:rsidRDefault="00B872ED" w:rsidP="00C554E2">
            <w:pPr>
              <w:jc w:val="center"/>
            </w:pPr>
            <w:r>
              <w:t>70</w:t>
            </w:r>
          </w:p>
        </w:tc>
        <w:tc>
          <w:tcPr>
            <w:tcW w:w="918" w:type="dxa"/>
          </w:tcPr>
          <w:p w14:paraId="6F1D4581" w14:textId="77777777" w:rsidR="00B872ED" w:rsidRDefault="00B872ED" w:rsidP="00C554E2">
            <w:pPr>
              <w:jc w:val="center"/>
            </w:pPr>
            <w:r>
              <w:t>80</w:t>
            </w:r>
          </w:p>
        </w:tc>
      </w:tr>
      <w:tr w:rsidR="00B872ED" w14:paraId="057D5BF1" w14:textId="77777777" w:rsidTr="00C554E2">
        <w:trPr>
          <w:jc w:val="center"/>
        </w:trPr>
        <w:tc>
          <w:tcPr>
            <w:tcW w:w="2245" w:type="dxa"/>
            <w:vAlign w:val="top"/>
          </w:tcPr>
          <w:p w14:paraId="15AC1F45" w14:textId="77777777" w:rsidR="00B872ED" w:rsidRDefault="00B872ED" w:rsidP="00C554E2">
            <w:pPr>
              <w:pStyle w:val="CellColumn"/>
              <w:jc w:val="left"/>
            </w:pPr>
            <w:r>
              <w:rPr>
                <w:rFonts w:cs="Times New Roman"/>
              </w:rPr>
              <w:t>Izvršene laboratorijske analize uzoraka bilja i štetnih organizama</w:t>
            </w:r>
          </w:p>
        </w:tc>
        <w:tc>
          <w:tcPr>
            <w:tcW w:w="2245" w:type="dxa"/>
            <w:vAlign w:val="top"/>
          </w:tcPr>
          <w:p w14:paraId="07385B42" w14:textId="77777777" w:rsidR="00B872ED" w:rsidRDefault="00B872ED" w:rsidP="00C554E2">
            <w:pPr>
              <w:pStyle w:val="CellColumn"/>
              <w:jc w:val="left"/>
            </w:pPr>
            <w:r>
              <w:rPr>
                <w:rFonts w:cs="Times New Roman"/>
              </w:rPr>
              <w:t>Utvrđivanje prisutnosti ili odsutnosti štetnih organizama u uzorcima i determinacija štetnih organizama</w:t>
            </w:r>
          </w:p>
        </w:tc>
        <w:tc>
          <w:tcPr>
            <w:tcW w:w="918" w:type="dxa"/>
          </w:tcPr>
          <w:p w14:paraId="1811A781" w14:textId="77777777" w:rsidR="00B872ED" w:rsidRDefault="00B872ED" w:rsidP="00C554E2">
            <w:pPr>
              <w:jc w:val="center"/>
            </w:pPr>
            <w:r>
              <w:t>Postotak</w:t>
            </w:r>
          </w:p>
        </w:tc>
        <w:tc>
          <w:tcPr>
            <w:tcW w:w="918" w:type="dxa"/>
          </w:tcPr>
          <w:p w14:paraId="7853C000" w14:textId="77777777" w:rsidR="00B872ED" w:rsidRDefault="00B872ED" w:rsidP="00C554E2">
            <w:pPr>
              <w:jc w:val="center"/>
            </w:pPr>
            <w:r>
              <w:t>50</w:t>
            </w:r>
          </w:p>
        </w:tc>
        <w:tc>
          <w:tcPr>
            <w:tcW w:w="918" w:type="dxa"/>
          </w:tcPr>
          <w:p w14:paraId="3FF9AC6C" w14:textId="77777777" w:rsidR="00B872ED" w:rsidRDefault="00B872ED" w:rsidP="00C554E2">
            <w:pPr>
              <w:pStyle w:val="CellColumn"/>
              <w:jc w:val="center"/>
            </w:pPr>
            <w:r>
              <w:rPr>
                <w:rFonts w:cs="Times New Roman"/>
              </w:rPr>
              <w:t>Evidencija o uzetim uzorcima, eventualna aplikativna rješenja</w:t>
            </w:r>
          </w:p>
        </w:tc>
        <w:tc>
          <w:tcPr>
            <w:tcW w:w="918" w:type="dxa"/>
          </w:tcPr>
          <w:p w14:paraId="68587EC7" w14:textId="77777777" w:rsidR="00B872ED" w:rsidRDefault="00B872ED" w:rsidP="00C554E2">
            <w:pPr>
              <w:jc w:val="center"/>
            </w:pPr>
            <w:r>
              <w:t>60</w:t>
            </w:r>
          </w:p>
        </w:tc>
        <w:tc>
          <w:tcPr>
            <w:tcW w:w="918" w:type="dxa"/>
          </w:tcPr>
          <w:p w14:paraId="26048671" w14:textId="77777777" w:rsidR="00B872ED" w:rsidRDefault="00B872ED" w:rsidP="00C554E2">
            <w:pPr>
              <w:jc w:val="center"/>
            </w:pPr>
            <w:r>
              <w:t>70</w:t>
            </w:r>
          </w:p>
        </w:tc>
        <w:tc>
          <w:tcPr>
            <w:tcW w:w="918" w:type="dxa"/>
          </w:tcPr>
          <w:p w14:paraId="16A650FB" w14:textId="77777777" w:rsidR="00B872ED" w:rsidRDefault="00B872ED" w:rsidP="00C554E2">
            <w:pPr>
              <w:jc w:val="center"/>
            </w:pPr>
            <w:r>
              <w:t>80</w:t>
            </w:r>
          </w:p>
        </w:tc>
      </w:tr>
      <w:tr w:rsidR="00B872ED" w14:paraId="0A0CD03B" w14:textId="77777777" w:rsidTr="00C554E2">
        <w:trPr>
          <w:jc w:val="center"/>
        </w:trPr>
        <w:tc>
          <w:tcPr>
            <w:tcW w:w="2245" w:type="dxa"/>
            <w:vAlign w:val="top"/>
          </w:tcPr>
          <w:p w14:paraId="353CED37" w14:textId="77777777" w:rsidR="00B872ED" w:rsidRDefault="00B872ED" w:rsidP="00C554E2">
            <w:pPr>
              <w:pStyle w:val="CellColumn"/>
              <w:jc w:val="left"/>
            </w:pPr>
            <w:r>
              <w:rPr>
                <w:rFonts w:cs="Times New Roman"/>
              </w:rPr>
              <w:t>Izvršene laboratorijske analize hrane, vina i dr.</w:t>
            </w:r>
          </w:p>
        </w:tc>
        <w:tc>
          <w:tcPr>
            <w:tcW w:w="2245" w:type="dxa"/>
            <w:vAlign w:val="top"/>
          </w:tcPr>
          <w:p w14:paraId="7D652773" w14:textId="77777777" w:rsidR="00B872ED" w:rsidRDefault="00B872ED" w:rsidP="00C554E2">
            <w:pPr>
              <w:pStyle w:val="CellColumn"/>
              <w:jc w:val="left"/>
            </w:pPr>
            <w:r>
              <w:rPr>
                <w:rFonts w:cs="Times New Roman"/>
              </w:rPr>
              <w:t>Kvaliteta i patvorenje</w:t>
            </w:r>
          </w:p>
        </w:tc>
        <w:tc>
          <w:tcPr>
            <w:tcW w:w="918" w:type="dxa"/>
          </w:tcPr>
          <w:p w14:paraId="2CA76A21" w14:textId="77777777" w:rsidR="00B872ED" w:rsidRDefault="00B872ED" w:rsidP="00C554E2">
            <w:pPr>
              <w:jc w:val="center"/>
            </w:pPr>
            <w:r>
              <w:t>Postotak</w:t>
            </w:r>
          </w:p>
        </w:tc>
        <w:tc>
          <w:tcPr>
            <w:tcW w:w="918" w:type="dxa"/>
          </w:tcPr>
          <w:p w14:paraId="2D9F3780" w14:textId="77777777" w:rsidR="00B872ED" w:rsidRDefault="00B872ED" w:rsidP="00C554E2">
            <w:pPr>
              <w:jc w:val="center"/>
            </w:pPr>
            <w:r>
              <w:t>50</w:t>
            </w:r>
          </w:p>
        </w:tc>
        <w:tc>
          <w:tcPr>
            <w:tcW w:w="918" w:type="dxa"/>
          </w:tcPr>
          <w:p w14:paraId="5020F63A" w14:textId="77777777" w:rsidR="00B872ED" w:rsidRDefault="00B872ED" w:rsidP="00C554E2">
            <w:pPr>
              <w:pStyle w:val="CellColumn"/>
              <w:jc w:val="center"/>
            </w:pPr>
            <w:r>
              <w:rPr>
                <w:rFonts w:cs="Times New Roman"/>
              </w:rPr>
              <w:t>Izvješća o uzorkovanim proizvodima</w:t>
            </w:r>
          </w:p>
        </w:tc>
        <w:tc>
          <w:tcPr>
            <w:tcW w:w="918" w:type="dxa"/>
          </w:tcPr>
          <w:p w14:paraId="1B92E8E9" w14:textId="77777777" w:rsidR="00B872ED" w:rsidRDefault="00B872ED" w:rsidP="00C554E2">
            <w:pPr>
              <w:jc w:val="center"/>
            </w:pPr>
            <w:r>
              <w:t>50</w:t>
            </w:r>
          </w:p>
        </w:tc>
        <w:tc>
          <w:tcPr>
            <w:tcW w:w="918" w:type="dxa"/>
          </w:tcPr>
          <w:p w14:paraId="6DFE0450" w14:textId="77777777" w:rsidR="00B872ED" w:rsidRDefault="00B872ED" w:rsidP="00C554E2">
            <w:pPr>
              <w:jc w:val="center"/>
            </w:pPr>
            <w:r>
              <w:t>50</w:t>
            </w:r>
          </w:p>
        </w:tc>
        <w:tc>
          <w:tcPr>
            <w:tcW w:w="918" w:type="dxa"/>
          </w:tcPr>
          <w:p w14:paraId="44F870D1" w14:textId="77777777" w:rsidR="00B872ED" w:rsidRDefault="00B872ED" w:rsidP="00C554E2">
            <w:pPr>
              <w:jc w:val="center"/>
            </w:pPr>
            <w:r>
              <w:t>50</w:t>
            </w:r>
          </w:p>
        </w:tc>
      </w:tr>
      <w:tr w:rsidR="00B872ED" w14:paraId="0F1AC1E9" w14:textId="77777777" w:rsidTr="00C554E2">
        <w:trPr>
          <w:jc w:val="center"/>
        </w:trPr>
        <w:tc>
          <w:tcPr>
            <w:tcW w:w="2245" w:type="dxa"/>
            <w:vAlign w:val="top"/>
          </w:tcPr>
          <w:p w14:paraId="289D13CB" w14:textId="77777777" w:rsidR="00B872ED" w:rsidRDefault="00B872ED" w:rsidP="00C554E2">
            <w:pPr>
              <w:pStyle w:val="CellColumn"/>
              <w:jc w:val="left"/>
            </w:pPr>
            <w:r>
              <w:rPr>
                <w:rFonts w:cs="Times New Roman"/>
              </w:rPr>
              <w:t>Opremljenosti fitosanitarne i poljoprivredne inspekcije</w:t>
            </w:r>
          </w:p>
        </w:tc>
        <w:tc>
          <w:tcPr>
            <w:tcW w:w="2245" w:type="dxa"/>
            <w:vAlign w:val="top"/>
          </w:tcPr>
          <w:p w14:paraId="2D0D1A9B" w14:textId="77777777" w:rsidR="00B872ED" w:rsidRDefault="00B872ED" w:rsidP="00C554E2">
            <w:pPr>
              <w:pStyle w:val="CellColumn"/>
              <w:jc w:val="left"/>
            </w:pPr>
            <w:r>
              <w:rPr>
                <w:rFonts w:cs="Times New Roman"/>
              </w:rPr>
              <w:t>Inspekcijska i informatička oprema</w:t>
            </w:r>
          </w:p>
        </w:tc>
        <w:tc>
          <w:tcPr>
            <w:tcW w:w="918" w:type="dxa"/>
          </w:tcPr>
          <w:p w14:paraId="6AC26733" w14:textId="77777777" w:rsidR="00B872ED" w:rsidRDefault="00B872ED" w:rsidP="00C554E2">
            <w:pPr>
              <w:jc w:val="center"/>
            </w:pPr>
            <w:r>
              <w:t>Postotak</w:t>
            </w:r>
          </w:p>
        </w:tc>
        <w:tc>
          <w:tcPr>
            <w:tcW w:w="918" w:type="dxa"/>
          </w:tcPr>
          <w:p w14:paraId="3EFE06E3" w14:textId="77777777" w:rsidR="00B872ED" w:rsidRDefault="00B872ED" w:rsidP="00C554E2">
            <w:pPr>
              <w:jc w:val="center"/>
            </w:pPr>
            <w:r>
              <w:t>30</w:t>
            </w:r>
          </w:p>
        </w:tc>
        <w:tc>
          <w:tcPr>
            <w:tcW w:w="918" w:type="dxa"/>
          </w:tcPr>
          <w:p w14:paraId="325B19DE" w14:textId="77777777" w:rsidR="00B872ED" w:rsidRDefault="00B872ED" w:rsidP="00C554E2">
            <w:pPr>
              <w:pStyle w:val="CellColumn"/>
              <w:jc w:val="center"/>
            </w:pPr>
            <w:r>
              <w:rPr>
                <w:rFonts w:cs="Times New Roman"/>
              </w:rPr>
              <w:t>Popis osnovnih sredstava  i inventara</w:t>
            </w:r>
          </w:p>
        </w:tc>
        <w:tc>
          <w:tcPr>
            <w:tcW w:w="918" w:type="dxa"/>
          </w:tcPr>
          <w:p w14:paraId="6BFC2699" w14:textId="77777777" w:rsidR="00B872ED" w:rsidRDefault="00B872ED" w:rsidP="00C554E2">
            <w:pPr>
              <w:jc w:val="center"/>
            </w:pPr>
            <w:r>
              <w:t>40</w:t>
            </w:r>
          </w:p>
        </w:tc>
        <w:tc>
          <w:tcPr>
            <w:tcW w:w="918" w:type="dxa"/>
          </w:tcPr>
          <w:p w14:paraId="4361AA54" w14:textId="77777777" w:rsidR="00B872ED" w:rsidRDefault="00B872ED" w:rsidP="00C554E2">
            <w:pPr>
              <w:jc w:val="center"/>
            </w:pPr>
            <w:r>
              <w:t>60</w:t>
            </w:r>
          </w:p>
        </w:tc>
        <w:tc>
          <w:tcPr>
            <w:tcW w:w="918" w:type="dxa"/>
          </w:tcPr>
          <w:p w14:paraId="14D01DFA" w14:textId="77777777" w:rsidR="00B872ED" w:rsidRDefault="00B872ED" w:rsidP="00C554E2">
            <w:pPr>
              <w:jc w:val="center"/>
            </w:pPr>
            <w:r>
              <w:t>80</w:t>
            </w:r>
          </w:p>
        </w:tc>
      </w:tr>
      <w:tr w:rsidR="00B872ED" w14:paraId="559A11B1" w14:textId="77777777" w:rsidTr="00C554E2">
        <w:trPr>
          <w:jc w:val="center"/>
        </w:trPr>
        <w:tc>
          <w:tcPr>
            <w:tcW w:w="2245" w:type="dxa"/>
            <w:vAlign w:val="top"/>
          </w:tcPr>
          <w:p w14:paraId="108DC311" w14:textId="77777777" w:rsidR="00B872ED" w:rsidRDefault="00B872ED" w:rsidP="00C554E2">
            <w:pPr>
              <w:pStyle w:val="CellColumn"/>
              <w:jc w:val="left"/>
            </w:pPr>
            <w:r>
              <w:rPr>
                <w:rFonts w:cs="Times New Roman"/>
              </w:rPr>
              <w:t>Jačanje resursa kroz provedene edukacije fitosanitarnih i poljoprivrednih inspektora</w:t>
            </w:r>
          </w:p>
        </w:tc>
        <w:tc>
          <w:tcPr>
            <w:tcW w:w="2245" w:type="dxa"/>
            <w:vAlign w:val="top"/>
          </w:tcPr>
          <w:p w14:paraId="2981183A" w14:textId="77777777" w:rsidR="00B872ED" w:rsidRDefault="00B872ED" w:rsidP="00C554E2">
            <w:pPr>
              <w:pStyle w:val="CellColumn"/>
              <w:jc w:val="left"/>
            </w:pPr>
            <w:r>
              <w:rPr>
                <w:rFonts w:cs="Times New Roman"/>
              </w:rPr>
              <w:t>Educiranje i stručno usavršavanje fitosanitarnih i poljoprivrednih inspektora</w:t>
            </w:r>
          </w:p>
        </w:tc>
        <w:tc>
          <w:tcPr>
            <w:tcW w:w="918" w:type="dxa"/>
          </w:tcPr>
          <w:p w14:paraId="588B339F" w14:textId="77777777" w:rsidR="00B872ED" w:rsidRDefault="00B872ED" w:rsidP="00C554E2">
            <w:pPr>
              <w:jc w:val="center"/>
            </w:pPr>
            <w:r>
              <w:t>Postotak</w:t>
            </w:r>
          </w:p>
        </w:tc>
        <w:tc>
          <w:tcPr>
            <w:tcW w:w="918" w:type="dxa"/>
          </w:tcPr>
          <w:p w14:paraId="6F4850B2" w14:textId="77777777" w:rsidR="00B872ED" w:rsidRDefault="00B872ED" w:rsidP="00C554E2">
            <w:pPr>
              <w:jc w:val="center"/>
            </w:pPr>
            <w:r>
              <w:t>30</w:t>
            </w:r>
          </w:p>
        </w:tc>
        <w:tc>
          <w:tcPr>
            <w:tcW w:w="918" w:type="dxa"/>
          </w:tcPr>
          <w:p w14:paraId="444CB91F" w14:textId="77777777" w:rsidR="00B872ED" w:rsidRDefault="00B872ED" w:rsidP="00C554E2">
            <w:pPr>
              <w:pStyle w:val="CellColumn"/>
              <w:jc w:val="center"/>
            </w:pPr>
            <w:r>
              <w:rPr>
                <w:rFonts w:cs="Times New Roman"/>
              </w:rPr>
              <w:t>Evidencija o stručnom usavršavanju</w:t>
            </w:r>
          </w:p>
        </w:tc>
        <w:tc>
          <w:tcPr>
            <w:tcW w:w="918" w:type="dxa"/>
          </w:tcPr>
          <w:p w14:paraId="4E66A8DC" w14:textId="77777777" w:rsidR="00B872ED" w:rsidRDefault="00B872ED" w:rsidP="00C554E2">
            <w:pPr>
              <w:jc w:val="center"/>
            </w:pPr>
            <w:r>
              <w:t>40</w:t>
            </w:r>
          </w:p>
        </w:tc>
        <w:tc>
          <w:tcPr>
            <w:tcW w:w="918" w:type="dxa"/>
          </w:tcPr>
          <w:p w14:paraId="5368EE84" w14:textId="77777777" w:rsidR="00B872ED" w:rsidRDefault="00B872ED" w:rsidP="00C554E2">
            <w:pPr>
              <w:jc w:val="center"/>
            </w:pPr>
            <w:r>
              <w:t>50</w:t>
            </w:r>
          </w:p>
        </w:tc>
        <w:tc>
          <w:tcPr>
            <w:tcW w:w="918" w:type="dxa"/>
          </w:tcPr>
          <w:p w14:paraId="7B931BAF" w14:textId="77777777" w:rsidR="00B872ED" w:rsidRDefault="00B872ED" w:rsidP="00C554E2">
            <w:pPr>
              <w:jc w:val="center"/>
            </w:pPr>
            <w:r>
              <w:t>60</w:t>
            </w:r>
          </w:p>
        </w:tc>
      </w:tr>
    </w:tbl>
    <w:p w14:paraId="12A59CBA" w14:textId="77777777" w:rsidR="00B872ED" w:rsidRDefault="00B872ED" w:rsidP="00B872ED">
      <w:pPr>
        <w:jc w:val="left"/>
      </w:pPr>
    </w:p>
    <w:p w14:paraId="767A54D9" w14:textId="77777777" w:rsidR="00B872ED" w:rsidRDefault="00B872ED">
      <w:pPr>
        <w:jc w:val="left"/>
      </w:pPr>
    </w:p>
    <w:p w14:paraId="4E15FB66" w14:textId="77777777" w:rsidR="004A7FF1" w:rsidRDefault="00C42291">
      <w:pPr>
        <w:pStyle w:val="Naslov4"/>
      </w:pPr>
      <w:r>
        <w:t>K673015 OBNOVA VOZNOG PARKA</w:t>
      </w:r>
    </w:p>
    <w:p w14:paraId="3C5A478E" w14:textId="77777777" w:rsidR="004A7FF1" w:rsidRDefault="00C42291">
      <w:pPr>
        <w:pStyle w:val="Naslov8"/>
        <w:jc w:val="left"/>
      </w:pPr>
      <w:r>
        <w:t>Zakonske i druge pravne osnove</w:t>
      </w:r>
    </w:p>
    <w:p w14:paraId="6E77E1B5" w14:textId="77777777" w:rsidR="004A7FF1" w:rsidRDefault="00C42291">
      <w:r>
        <w:t xml:space="preserve">-Zakon o javnoj nabavi </w:t>
      </w:r>
    </w:p>
    <w:p w14:paraId="081AD5C4" w14:textId="77777777" w:rsidR="004A7FF1" w:rsidRDefault="00C42291">
      <w:r>
        <w:t>-Uredba o unutarnjem ustrojstvu Državnog inspektorata</w:t>
      </w:r>
    </w:p>
    <w:tbl>
      <w:tblPr>
        <w:tblStyle w:val="StilTablice"/>
        <w:tblW w:w="10206" w:type="dxa"/>
        <w:jc w:val="center"/>
        <w:tblLook w:val="04A0" w:firstRow="1" w:lastRow="0" w:firstColumn="1" w:lastColumn="0" w:noHBand="0" w:noVBand="1"/>
      </w:tblPr>
      <w:tblGrid>
        <w:gridCol w:w="1473"/>
        <w:gridCol w:w="1559"/>
        <w:gridCol w:w="1551"/>
        <w:gridCol w:w="1551"/>
        <w:gridCol w:w="1551"/>
        <w:gridCol w:w="1551"/>
        <w:gridCol w:w="970"/>
      </w:tblGrid>
      <w:tr w:rsidR="004A7FF1" w14:paraId="55C4F2E9" w14:textId="77777777">
        <w:trPr>
          <w:jc w:val="center"/>
        </w:trPr>
        <w:tc>
          <w:tcPr>
            <w:tcW w:w="1530" w:type="dxa"/>
            <w:shd w:val="clear" w:color="auto" w:fill="B5C0D8"/>
          </w:tcPr>
          <w:p w14:paraId="0887812B" w14:textId="77777777" w:rsidR="004A7FF1" w:rsidRDefault="00C42291">
            <w:pPr>
              <w:pStyle w:val="CellHeader"/>
              <w:jc w:val="center"/>
            </w:pPr>
            <w:r>
              <w:rPr>
                <w:rFonts w:cs="Times New Roman"/>
              </w:rPr>
              <w:t>Naziv aktivnosti</w:t>
            </w:r>
          </w:p>
        </w:tc>
        <w:tc>
          <w:tcPr>
            <w:tcW w:w="1632" w:type="dxa"/>
            <w:shd w:val="clear" w:color="auto" w:fill="B5C0D8"/>
          </w:tcPr>
          <w:p w14:paraId="5173149A" w14:textId="77777777" w:rsidR="004A7FF1" w:rsidRDefault="00C42291">
            <w:pPr>
              <w:pStyle w:val="CellHeader"/>
              <w:jc w:val="center"/>
            </w:pPr>
            <w:r>
              <w:rPr>
                <w:rFonts w:cs="Times New Roman"/>
              </w:rPr>
              <w:t>Izvršenje 2022.</w:t>
            </w:r>
          </w:p>
        </w:tc>
        <w:tc>
          <w:tcPr>
            <w:tcW w:w="1632" w:type="dxa"/>
            <w:shd w:val="clear" w:color="auto" w:fill="B5C0D8"/>
          </w:tcPr>
          <w:p w14:paraId="46EA4ACF" w14:textId="77777777" w:rsidR="004A7FF1" w:rsidRDefault="00C42291">
            <w:pPr>
              <w:pStyle w:val="CellHeader"/>
              <w:jc w:val="center"/>
            </w:pPr>
            <w:r>
              <w:rPr>
                <w:rFonts w:cs="Times New Roman"/>
              </w:rPr>
              <w:t>Plan 2023.</w:t>
            </w:r>
          </w:p>
        </w:tc>
        <w:tc>
          <w:tcPr>
            <w:tcW w:w="1632" w:type="dxa"/>
            <w:shd w:val="clear" w:color="auto" w:fill="B5C0D8"/>
          </w:tcPr>
          <w:p w14:paraId="2544D280" w14:textId="77777777" w:rsidR="004A7FF1" w:rsidRDefault="00C42291">
            <w:pPr>
              <w:pStyle w:val="CellHeader"/>
              <w:jc w:val="center"/>
            </w:pPr>
            <w:r>
              <w:rPr>
                <w:rFonts w:cs="Times New Roman"/>
              </w:rPr>
              <w:t>Plan 2024.</w:t>
            </w:r>
          </w:p>
        </w:tc>
        <w:tc>
          <w:tcPr>
            <w:tcW w:w="1632" w:type="dxa"/>
            <w:shd w:val="clear" w:color="auto" w:fill="B5C0D8"/>
          </w:tcPr>
          <w:p w14:paraId="5C4C302C" w14:textId="77777777" w:rsidR="004A7FF1" w:rsidRDefault="00C42291">
            <w:pPr>
              <w:pStyle w:val="CellHeader"/>
              <w:jc w:val="center"/>
            </w:pPr>
            <w:r>
              <w:rPr>
                <w:rFonts w:cs="Times New Roman"/>
              </w:rPr>
              <w:t>Plan 2025.</w:t>
            </w:r>
          </w:p>
        </w:tc>
        <w:tc>
          <w:tcPr>
            <w:tcW w:w="1632" w:type="dxa"/>
            <w:shd w:val="clear" w:color="auto" w:fill="B5C0D8"/>
          </w:tcPr>
          <w:p w14:paraId="71E0E03F" w14:textId="77777777" w:rsidR="004A7FF1" w:rsidRDefault="00C42291">
            <w:pPr>
              <w:pStyle w:val="CellHeader"/>
              <w:jc w:val="center"/>
            </w:pPr>
            <w:r>
              <w:rPr>
                <w:rFonts w:cs="Times New Roman"/>
              </w:rPr>
              <w:t>Plan 2026.</w:t>
            </w:r>
          </w:p>
        </w:tc>
        <w:tc>
          <w:tcPr>
            <w:tcW w:w="510" w:type="dxa"/>
            <w:shd w:val="clear" w:color="auto" w:fill="B5C0D8"/>
          </w:tcPr>
          <w:p w14:paraId="5B07D00A" w14:textId="77777777" w:rsidR="004A7FF1" w:rsidRDefault="00C42291">
            <w:pPr>
              <w:pStyle w:val="CellHeader"/>
              <w:jc w:val="center"/>
            </w:pPr>
            <w:r>
              <w:rPr>
                <w:rFonts w:cs="Times New Roman"/>
              </w:rPr>
              <w:t>Indeks 2024/2023</w:t>
            </w:r>
          </w:p>
        </w:tc>
      </w:tr>
      <w:tr w:rsidR="004A7FF1" w14:paraId="1C100EF5" w14:textId="77777777">
        <w:trPr>
          <w:jc w:val="center"/>
        </w:trPr>
        <w:tc>
          <w:tcPr>
            <w:tcW w:w="1530" w:type="dxa"/>
            <w:vAlign w:val="top"/>
          </w:tcPr>
          <w:p w14:paraId="7FA7C855" w14:textId="77777777" w:rsidR="004A7FF1" w:rsidRDefault="00C42291">
            <w:pPr>
              <w:pStyle w:val="CellColumn"/>
              <w:jc w:val="left"/>
            </w:pPr>
            <w:r>
              <w:rPr>
                <w:rFonts w:cs="Times New Roman"/>
              </w:rPr>
              <w:t>K673015</w:t>
            </w:r>
          </w:p>
        </w:tc>
        <w:tc>
          <w:tcPr>
            <w:tcW w:w="1632" w:type="dxa"/>
            <w:vAlign w:val="top"/>
          </w:tcPr>
          <w:p w14:paraId="62BD5019" w14:textId="77777777" w:rsidR="004A7FF1" w:rsidRDefault="00C42291">
            <w:pPr>
              <w:jc w:val="right"/>
            </w:pPr>
            <w:r>
              <w:t>282.254</w:t>
            </w:r>
          </w:p>
        </w:tc>
        <w:tc>
          <w:tcPr>
            <w:tcW w:w="1632" w:type="dxa"/>
            <w:vAlign w:val="top"/>
          </w:tcPr>
          <w:p w14:paraId="13B6CC97" w14:textId="77777777" w:rsidR="004A7FF1" w:rsidRDefault="00C42291">
            <w:pPr>
              <w:jc w:val="right"/>
            </w:pPr>
            <w:r>
              <w:t>331.807</w:t>
            </w:r>
          </w:p>
        </w:tc>
        <w:tc>
          <w:tcPr>
            <w:tcW w:w="1632" w:type="dxa"/>
            <w:vAlign w:val="top"/>
          </w:tcPr>
          <w:p w14:paraId="66D379D8" w14:textId="77777777" w:rsidR="004A7FF1" w:rsidRDefault="00C42291">
            <w:pPr>
              <w:jc w:val="right"/>
            </w:pPr>
            <w:r>
              <w:t>265.454</w:t>
            </w:r>
          </w:p>
        </w:tc>
        <w:tc>
          <w:tcPr>
            <w:tcW w:w="1632" w:type="dxa"/>
            <w:vAlign w:val="top"/>
          </w:tcPr>
          <w:p w14:paraId="59F64E20" w14:textId="77777777" w:rsidR="004A7FF1" w:rsidRDefault="00C42291">
            <w:pPr>
              <w:jc w:val="right"/>
            </w:pPr>
            <w:r>
              <w:t>265.452</w:t>
            </w:r>
          </w:p>
        </w:tc>
        <w:tc>
          <w:tcPr>
            <w:tcW w:w="1632" w:type="dxa"/>
            <w:vAlign w:val="top"/>
          </w:tcPr>
          <w:p w14:paraId="592008BA" w14:textId="77777777" w:rsidR="004A7FF1" w:rsidRDefault="00C42291">
            <w:pPr>
              <w:jc w:val="right"/>
            </w:pPr>
            <w:r>
              <w:t>265.448</w:t>
            </w:r>
          </w:p>
        </w:tc>
        <w:tc>
          <w:tcPr>
            <w:tcW w:w="510" w:type="dxa"/>
            <w:vAlign w:val="top"/>
          </w:tcPr>
          <w:p w14:paraId="3CFB9F03" w14:textId="77777777" w:rsidR="004A7FF1" w:rsidRDefault="00C42291">
            <w:pPr>
              <w:jc w:val="right"/>
            </w:pPr>
            <w:r>
              <w:t>80,0</w:t>
            </w:r>
          </w:p>
        </w:tc>
      </w:tr>
    </w:tbl>
    <w:p w14:paraId="2F1A90D1" w14:textId="77777777" w:rsidR="004A7FF1" w:rsidRDefault="004A7FF1">
      <w:pPr>
        <w:jc w:val="left"/>
      </w:pPr>
    </w:p>
    <w:p w14:paraId="2932642A" w14:textId="77777777" w:rsidR="004A7FF1" w:rsidRDefault="00C42291">
      <w:r>
        <w:t>Sredstva ove aktivnosti namijenjena su za obnovu voznog parka odnosno nabavu službenih automobila Državnog inspektorata radi nesmetanog, racionalnog i uspješnog obavljanja djelatnosti. Planirana sredstva na ovoj aktivnosti za 2024. godinu iznose 265.454 eu</w:t>
      </w:r>
      <w:r w:rsidR="00E578FE">
        <w:t>r, za 2025</w:t>
      </w:r>
      <w:r>
        <w:t xml:space="preserve">.265.452 eur, a za 2026. godinu 265.448 eur u okviru kojih su planirana sredstva i za leasing.  </w:t>
      </w:r>
    </w:p>
    <w:p w14:paraId="0D39689E" w14:textId="77777777" w:rsidR="004A7FF1" w:rsidRDefault="00C42291">
      <w:r>
        <w:t>Kako navedene postupke provodi Središnji državni ureda za središnju javnu nabavu sredstva moraju biti osigurana za sva naredna proračunska razdoblja.</w:t>
      </w:r>
    </w:p>
    <w:p w14:paraId="6E6F2234" w14:textId="77777777" w:rsidR="004A7FF1" w:rsidRDefault="00C42291">
      <w:pPr>
        <w:pStyle w:val="Naslov4"/>
      </w:pPr>
      <w:r>
        <w:t>K673016 INFORMATIZACIJA</w:t>
      </w:r>
    </w:p>
    <w:p w14:paraId="3880168F" w14:textId="77777777" w:rsidR="004A7FF1" w:rsidRDefault="00C42291">
      <w:pPr>
        <w:pStyle w:val="Naslov8"/>
        <w:jc w:val="left"/>
      </w:pPr>
      <w:r>
        <w:t>Zakonske i druge pravne osnove</w:t>
      </w:r>
    </w:p>
    <w:p w14:paraId="24EE348F" w14:textId="77777777" w:rsidR="004A7FF1" w:rsidRDefault="00C42291">
      <w:r>
        <w:t xml:space="preserve">-Zakon o javnoj nabavi </w:t>
      </w:r>
    </w:p>
    <w:p w14:paraId="616305CC" w14:textId="77777777" w:rsidR="004A7FF1" w:rsidRDefault="00C42291">
      <w:r>
        <w:t>-Uredba o unutarnjem ustrojstvu Državnog inspektorata</w:t>
      </w:r>
    </w:p>
    <w:tbl>
      <w:tblPr>
        <w:tblStyle w:val="StilTablice"/>
        <w:tblW w:w="10206" w:type="dxa"/>
        <w:jc w:val="center"/>
        <w:tblLook w:val="04A0" w:firstRow="1" w:lastRow="0" w:firstColumn="1" w:lastColumn="0" w:noHBand="0" w:noVBand="1"/>
      </w:tblPr>
      <w:tblGrid>
        <w:gridCol w:w="1461"/>
        <w:gridCol w:w="1555"/>
        <w:gridCol w:w="1555"/>
        <w:gridCol w:w="1555"/>
        <w:gridCol w:w="1555"/>
        <w:gridCol w:w="1555"/>
        <w:gridCol w:w="970"/>
      </w:tblGrid>
      <w:tr w:rsidR="004A7FF1" w14:paraId="499AA2F7" w14:textId="77777777">
        <w:trPr>
          <w:jc w:val="center"/>
        </w:trPr>
        <w:tc>
          <w:tcPr>
            <w:tcW w:w="1530" w:type="dxa"/>
            <w:shd w:val="clear" w:color="auto" w:fill="B5C0D8"/>
          </w:tcPr>
          <w:p w14:paraId="2EE257A0" w14:textId="77777777" w:rsidR="004A7FF1" w:rsidRDefault="00C42291">
            <w:pPr>
              <w:pStyle w:val="CellHeader"/>
              <w:jc w:val="center"/>
            </w:pPr>
            <w:r>
              <w:rPr>
                <w:rFonts w:cs="Times New Roman"/>
              </w:rPr>
              <w:t>Naziv aktivnosti</w:t>
            </w:r>
          </w:p>
        </w:tc>
        <w:tc>
          <w:tcPr>
            <w:tcW w:w="1632" w:type="dxa"/>
            <w:shd w:val="clear" w:color="auto" w:fill="B5C0D8"/>
          </w:tcPr>
          <w:p w14:paraId="3C4859E9" w14:textId="77777777" w:rsidR="004A7FF1" w:rsidRDefault="00C42291">
            <w:pPr>
              <w:pStyle w:val="CellHeader"/>
              <w:jc w:val="center"/>
            </w:pPr>
            <w:r>
              <w:rPr>
                <w:rFonts w:cs="Times New Roman"/>
              </w:rPr>
              <w:t>Izvršenje 2022.</w:t>
            </w:r>
          </w:p>
        </w:tc>
        <w:tc>
          <w:tcPr>
            <w:tcW w:w="1632" w:type="dxa"/>
            <w:shd w:val="clear" w:color="auto" w:fill="B5C0D8"/>
          </w:tcPr>
          <w:p w14:paraId="3EAE0FBE" w14:textId="77777777" w:rsidR="004A7FF1" w:rsidRDefault="00C42291">
            <w:pPr>
              <w:pStyle w:val="CellHeader"/>
              <w:jc w:val="center"/>
            </w:pPr>
            <w:r>
              <w:rPr>
                <w:rFonts w:cs="Times New Roman"/>
              </w:rPr>
              <w:t>Plan 2023.</w:t>
            </w:r>
          </w:p>
        </w:tc>
        <w:tc>
          <w:tcPr>
            <w:tcW w:w="1632" w:type="dxa"/>
            <w:shd w:val="clear" w:color="auto" w:fill="B5C0D8"/>
          </w:tcPr>
          <w:p w14:paraId="369ECC88" w14:textId="77777777" w:rsidR="004A7FF1" w:rsidRDefault="00C42291">
            <w:pPr>
              <w:pStyle w:val="CellHeader"/>
              <w:jc w:val="center"/>
            </w:pPr>
            <w:r>
              <w:rPr>
                <w:rFonts w:cs="Times New Roman"/>
              </w:rPr>
              <w:t>Plan 2024.</w:t>
            </w:r>
          </w:p>
        </w:tc>
        <w:tc>
          <w:tcPr>
            <w:tcW w:w="1632" w:type="dxa"/>
            <w:shd w:val="clear" w:color="auto" w:fill="B5C0D8"/>
          </w:tcPr>
          <w:p w14:paraId="05195573" w14:textId="77777777" w:rsidR="004A7FF1" w:rsidRDefault="00C42291">
            <w:pPr>
              <w:pStyle w:val="CellHeader"/>
              <w:jc w:val="center"/>
            </w:pPr>
            <w:r>
              <w:rPr>
                <w:rFonts w:cs="Times New Roman"/>
              </w:rPr>
              <w:t>Plan 2025.</w:t>
            </w:r>
          </w:p>
        </w:tc>
        <w:tc>
          <w:tcPr>
            <w:tcW w:w="1632" w:type="dxa"/>
            <w:shd w:val="clear" w:color="auto" w:fill="B5C0D8"/>
          </w:tcPr>
          <w:p w14:paraId="37EFE0AA" w14:textId="77777777" w:rsidR="004A7FF1" w:rsidRDefault="00C42291">
            <w:pPr>
              <w:pStyle w:val="CellHeader"/>
              <w:jc w:val="center"/>
            </w:pPr>
            <w:r>
              <w:rPr>
                <w:rFonts w:cs="Times New Roman"/>
              </w:rPr>
              <w:t>Plan 2026.</w:t>
            </w:r>
          </w:p>
        </w:tc>
        <w:tc>
          <w:tcPr>
            <w:tcW w:w="510" w:type="dxa"/>
            <w:shd w:val="clear" w:color="auto" w:fill="B5C0D8"/>
          </w:tcPr>
          <w:p w14:paraId="088AA2F7" w14:textId="77777777" w:rsidR="004A7FF1" w:rsidRDefault="00C42291">
            <w:pPr>
              <w:pStyle w:val="CellHeader"/>
              <w:jc w:val="center"/>
            </w:pPr>
            <w:r>
              <w:rPr>
                <w:rFonts w:cs="Times New Roman"/>
              </w:rPr>
              <w:t>Indeks 2024/2023</w:t>
            </w:r>
          </w:p>
        </w:tc>
      </w:tr>
      <w:tr w:rsidR="004A7FF1" w14:paraId="17328CD8" w14:textId="77777777">
        <w:trPr>
          <w:jc w:val="center"/>
        </w:trPr>
        <w:tc>
          <w:tcPr>
            <w:tcW w:w="1530" w:type="dxa"/>
            <w:vAlign w:val="top"/>
          </w:tcPr>
          <w:p w14:paraId="4C6AB146" w14:textId="77777777" w:rsidR="004A7FF1" w:rsidRDefault="00C42291">
            <w:pPr>
              <w:pStyle w:val="CellColumn"/>
              <w:jc w:val="left"/>
            </w:pPr>
            <w:r>
              <w:rPr>
                <w:rFonts w:cs="Times New Roman"/>
              </w:rPr>
              <w:lastRenderedPageBreak/>
              <w:t>K673016</w:t>
            </w:r>
          </w:p>
        </w:tc>
        <w:tc>
          <w:tcPr>
            <w:tcW w:w="1632" w:type="dxa"/>
            <w:vAlign w:val="top"/>
          </w:tcPr>
          <w:p w14:paraId="341FB893" w14:textId="77777777" w:rsidR="004A7FF1" w:rsidRDefault="00C42291">
            <w:pPr>
              <w:jc w:val="right"/>
            </w:pPr>
            <w:r>
              <w:t>1.361.517</w:t>
            </w:r>
          </w:p>
        </w:tc>
        <w:tc>
          <w:tcPr>
            <w:tcW w:w="1632" w:type="dxa"/>
            <w:vAlign w:val="top"/>
          </w:tcPr>
          <w:p w14:paraId="3FF8B9B1" w14:textId="77777777" w:rsidR="004A7FF1" w:rsidRDefault="00C42291">
            <w:pPr>
              <w:jc w:val="right"/>
            </w:pPr>
            <w:r>
              <w:t>3.914.898</w:t>
            </w:r>
          </w:p>
        </w:tc>
        <w:tc>
          <w:tcPr>
            <w:tcW w:w="1632" w:type="dxa"/>
            <w:vAlign w:val="top"/>
          </w:tcPr>
          <w:p w14:paraId="43F8906B" w14:textId="77777777" w:rsidR="004A7FF1" w:rsidRDefault="00C42291">
            <w:pPr>
              <w:jc w:val="right"/>
            </w:pPr>
            <w:r>
              <w:t>2.051.000</w:t>
            </w:r>
          </w:p>
        </w:tc>
        <w:tc>
          <w:tcPr>
            <w:tcW w:w="1632" w:type="dxa"/>
            <w:vAlign w:val="top"/>
          </w:tcPr>
          <w:p w14:paraId="31C93FE6" w14:textId="77777777" w:rsidR="004A7FF1" w:rsidRDefault="00C42291">
            <w:pPr>
              <w:jc w:val="right"/>
            </w:pPr>
            <w:r>
              <w:t>1.694.651</w:t>
            </w:r>
          </w:p>
        </w:tc>
        <w:tc>
          <w:tcPr>
            <w:tcW w:w="1632" w:type="dxa"/>
            <w:vAlign w:val="top"/>
          </w:tcPr>
          <w:p w14:paraId="10A52B08" w14:textId="77777777" w:rsidR="004A7FF1" w:rsidRDefault="00C42291">
            <w:pPr>
              <w:jc w:val="right"/>
            </w:pPr>
            <w:r>
              <w:t>1.751.000</w:t>
            </w:r>
          </w:p>
        </w:tc>
        <w:tc>
          <w:tcPr>
            <w:tcW w:w="510" w:type="dxa"/>
            <w:vAlign w:val="top"/>
          </w:tcPr>
          <w:p w14:paraId="2B708888" w14:textId="77777777" w:rsidR="004A7FF1" w:rsidRDefault="00C42291">
            <w:pPr>
              <w:jc w:val="right"/>
            </w:pPr>
            <w:r>
              <w:t>52,4</w:t>
            </w:r>
          </w:p>
        </w:tc>
      </w:tr>
    </w:tbl>
    <w:p w14:paraId="0952003B" w14:textId="77777777" w:rsidR="004A7FF1" w:rsidRDefault="004A7FF1">
      <w:pPr>
        <w:jc w:val="left"/>
      </w:pPr>
    </w:p>
    <w:p w14:paraId="29DF8F08" w14:textId="77777777" w:rsidR="004A7FF1" w:rsidRDefault="00C42291">
      <w:r>
        <w:t>Na proračunskoj poziciji K673016 Informatizacija planirana su za 2024. godinu u iznosu od 2.051.000 eura, za 2025. 1.694.651 eur i za 2026. godinu u iznosu od 1.751.000 eur.  U 2024.- 2026. godini nastavit će se projekti uspostave dijelova i podsustava informacijskog sustava Državnog inspektorata, održavanje i nadogradnja softverskih sustava Državnog inspektorat sukladno zakonodavnom okviru Republike Hrvatske i Europske unije, ulaganje u održavanje i nadogradnju postojeće softverske infrastrukture, računalne korisničke, te serversko-mrežne infrastrukture. Nastavlja se projekt kontinuirane nadogradnje mrežne infrastrukture na lokacijama Državnog inspektorata. Također će se morati podmiriti troškovi za licenčna prava, nabava licenciranog softvera za računalno-serversku i mrežnu infrastrukturu. Planira se zamjena korisničke informatičke opreme naslijeđene od pravnih prednika. Poslovni procesi inspekcijskih sektora će se digitalizirati u jedinstven  aplikativni sustav što će omogućiti pravovremeno donošenje odluka, realizaciju strateških i operativnih akata Državnog inspektorata, te izvršenje obveze iz članaka 79. Zakona o državnom inspektorat. Uspostaviti će se sigurnosni operativni centar te provesti testiranje otpornosti djelatnika na phishing mailove.</w:t>
      </w:r>
    </w:p>
    <w:p w14:paraId="007EF735" w14:textId="77777777" w:rsidR="004A7FF1" w:rsidRDefault="00C42291">
      <w:pPr>
        <w:pStyle w:val="Naslov4"/>
      </w:pPr>
      <w:r>
        <w:t>K673017 OPREMANJE</w:t>
      </w:r>
    </w:p>
    <w:p w14:paraId="21DE62CE" w14:textId="77777777" w:rsidR="004A7FF1" w:rsidRDefault="00C42291">
      <w:pPr>
        <w:pStyle w:val="Naslov8"/>
        <w:jc w:val="left"/>
      </w:pPr>
      <w:r>
        <w:t>Zakonske i druge pravne osnove</w:t>
      </w:r>
    </w:p>
    <w:p w14:paraId="6B81354D" w14:textId="77777777" w:rsidR="004A7FF1" w:rsidRDefault="00C42291">
      <w:r>
        <w:t xml:space="preserve">-Zakon o javnoj nabavi </w:t>
      </w:r>
    </w:p>
    <w:p w14:paraId="56E6C6B7" w14:textId="77777777" w:rsidR="004A7FF1" w:rsidRDefault="00C42291">
      <w:r>
        <w:t>-Uredba o unutarnjem ustrojstvu Državnog inspektorata</w:t>
      </w:r>
    </w:p>
    <w:tbl>
      <w:tblPr>
        <w:tblStyle w:val="StilTablice"/>
        <w:tblW w:w="10206" w:type="dxa"/>
        <w:jc w:val="center"/>
        <w:tblLook w:val="04A0" w:firstRow="1" w:lastRow="0" w:firstColumn="1" w:lastColumn="0" w:noHBand="0" w:noVBand="1"/>
      </w:tblPr>
      <w:tblGrid>
        <w:gridCol w:w="1475"/>
        <w:gridCol w:w="1565"/>
        <w:gridCol w:w="1549"/>
        <w:gridCol w:w="1549"/>
        <w:gridCol w:w="1549"/>
        <w:gridCol w:w="1549"/>
        <w:gridCol w:w="970"/>
      </w:tblGrid>
      <w:tr w:rsidR="004A7FF1" w14:paraId="2233F138" w14:textId="77777777">
        <w:trPr>
          <w:jc w:val="center"/>
        </w:trPr>
        <w:tc>
          <w:tcPr>
            <w:tcW w:w="1530" w:type="dxa"/>
            <w:shd w:val="clear" w:color="auto" w:fill="B5C0D8"/>
          </w:tcPr>
          <w:p w14:paraId="6E6246C0" w14:textId="77777777" w:rsidR="004A7FF1" w:rsidRDefault="00C42291">
            <w:pPr>
              <w:pStyle w:val="CellHeader"/>
              <w:jc w:val="center"/>
            </w:pPr>
            <w:r>
              <w:rPr>
                <w:rFonts w:cs="Times New Roman"/>
              </w:rPr>
              <w:t>Naziv aktivnosti</w:t>
            </w:r>
          </w:p>
        </w:tc>
        <w:tc>
          <w:tcPr>
            <w:tcW w:w="1632" w:type="dxa"/>
            <w:shd w:val="clear" w:color="auto" w:fill="B5C0D8"/>
          </w:tcPr>
          <w:p w14:paraId="4B411FA5" w14:textId="77777777" w:rsidR="004A7FF1" w:rsidRDefault="00C42291">
            <w:pPr>
              <w:pStyle w:val="CellHeader"/>
              <w:jc w:val="center"/>
            </w:pPr>
            <w:r>
              <w:rPr>
                <w:rFonts w:cs="Times New Roman"/>
              </w:rPr>
              <w:t>Izvršenje 2022.</w:t>
            </w:r>
          </w:p>
        </w:tc>
        <w:tc>
          <w:tcPr>
            <w:tcW w:w="1632" w:type="dxa"/>
            <w:shd w:val="clear" w:color="auto" w:fill="B5C0D8"/>
          </w:tcPr>
          <w:p w14:paraId="1C67EC5D" w14:textId="77777777" w:rsidR="004A7FF1" w:rsidRDefault="00C42291">
            <w:pPr>
              <w:pStyle w:val="CellHeader"/>
              <w:jc w:val="center"/>
            </w:pPr>
            <w:r>
              <w:rPr>
                <w:rFonts w:cs="Times New Roman"/>
              </w:rPr>
              <w:t>Plan 2023.</w:t>
            </w:r>
          </w:p>
        </w:tc>
        <w:tc>
          <w:tcPr>
            <w:tcW w:w="1632" w:type="dxa"/>
            <w:shd w:val="clear" w:color="auto" w:fill="B5C0D8"/>
          </w:tcPr>
          <w:p w14:paraId="59E36315" w14:textId="77777777" w:rsidR="004A7FF1" w:rsidRDefault="00C42291">
            <w:pPr>
              <w:pStyle w:val="CellHeader"/>
              <w:jc w:val="center"/>
            </w:pPr>
            <w:r>
              <w:rPr>
                <w:rFonts w:cs="Times New Roman"/>
              </w:rPr>
              <w:t>Plan 2024.</w:t>
            </w:r>
          </w:p>
        </w:tc>
        <w:tc>
          <w:tcPr>
            <w:tcW w:w="1632" w:type="dxa"/>
            <w:shd w:val="clear" w:color="auto" w:fill="B5C0D8"/>
          </w:tcPr>
          <w:p w14:paraId="035CF86C" w14:textId="77777777" w:rsidR="004A7FF1" w:rsidRDefault="00C42291">
            <w:pPr>
              <w:pStyle w:val="CellHeader"/>
              <w:jc w:val="center"/>
            </w:pPr>
            <w:r>
              <w:rPr>
                <w:rFonts w:cs="Times New Roman"/>
              </w:rPr>
              <w:t>Plan 2025.</w:t>
            </w:r>
          </w:p>
        </w:tc>
        <w:tc>
          <w:tcPr>
            <w:tcW w:w="1632" w:type="dxa"/>
            <w:shd w:val="clear" w:color="auto" w:fill="B5C0D8"/>
          </w:tcPr>
          <w:p w14:paraId="20B2E7E8" w14:textId="77777777" w:rsidR="004A7FF1" w:rsidRDefault="00C42291">
            <w:pPr>
              <w:pStyle w:val="CellHeader"/>
              <w:jc w:val="center"/>
            </w:pPr>
            <w:r>
              <w:rPr>
                <w:rFonts w:cs="Times New Roman"/>
              </w:rPr>
              <w:t>Plan 2026.</w:t>
            </w:r>
          </w:p>
        </w:tc>
        <w:tc>
          <w:tcPr>
            <w:tcW w:w="510" w:type="dxa"/>
            <w:shd w:val="clear" w:color="auto" w:fill="B5C0D8"/>
          </w:tcPr>
          <w:p w14:paraId="0A776A41" w14:textId="77777777" w:rsidR="004A7FF1" w:rsidRDefault="00C42291">
            <w:pPr>
              <w:pStyle w:val="CellHeader"/>
              <w:jc w:val="center"/>
            </w:pPr>
            <w:r>
              <w:rPr>
                <w:rFonts w:cs="Times New Roman"/>
              </w:rPr>
              <w:t>Indeks 2024/2023</w:t>
            </w:r>
          </w:p>
        </w:tc>
      </w:tr>
      <w:tr w:rsidR="004A7FF1" w14:paraId="30BE9CF2" w14:textId="77777777">
        <w:trPr>
          <w:jc w:val="center"/>
        </w:trPr>
        <w:tc>
          <w:tcPr>
            <w:tcW w:w="1530" w:type="dxa"/>
            <w:vAlign w:val="top"/>
          </w:tcPr>
          <w:p w14:paraId="3DB9AE43" w14:textId="77777777" w:rsidR="004A7FF1" w:rsidRDefault="00C42291">
            <w:pPr>
              <w:pStyle w:val="CellColumn"/>
              <w:jc w:val="left"/>
            </w:pPr>
            <w:r>
              <w:rPr>
                <w:rFonts w:cs="Times New Roman"/>
              </w:rPr>
              <w:t>K673017</w:t>
            </w:r>
          </w:p>
        </w:tc>
        <w:tc>
          <w:tcPr>
            <w:tcW w:w="1632" w:type="dxa"/>
            <w:vAlign w:val="top"/>
          </w:tcPr>
          <w:p w14:paraId="175F0DAB" w14:textId="77777777" w:rsidR="004A7FF1" w:rsidRDefault="00C42291">
            <w:pPr>
              <w:jc w:val="right"/>
            </w:pPr>
            <w:r>
              <w:t>21.847</w:t>
            </w:r>
          </w:p>
        </w:tc>
        <w:tc>
          <w:tcPr>
            <w:tcW w:w="1632" w:type="dxa"/>
            <w:vAlign w:val="top"/>
          </w:tcPr>
          <w:p w14:paraId="349C1DFB" w14:textId="77777777" w:rsidR="004A7FF1" w:rsidRDefault="00C42291">
            <w:pPr>
              <w:jc w:val="right"/>
            </w:pPr>
            <w:r>
              <w:t>89.587</w:t>
            </w:r>
          </w:p>
        </w:tc>
        <w:tc>
          <w:tcPr>
            <w:tcW w:w="1632" w:type="dxa"/>
            <w:vAlign w:val="top"/>
          </w:tcPr>
          <w:p w14:paraId="6436FD40" w14:textId="77777777" w:rsidR="004A7FF1" w:rsidRDefault="00C42291">
            <w:pPr>
              <w:jc w:val="right"/>
            </w:pPr>
            <w:r>
              <w:t>63.272</w:t>
            </w:r>
          </w:p>
        </w:tc>
        <w:tc>
          <w:tcPr>
            <w:tcW w:w="1632" w:type="dxa"/>
            <w:vAlign w:val="top"/>
          </w:tcPr>
          <w:p w14:paraId="2C9E5CA3" w14:textId="77777777" w:rsidR="004A7FF1" w:rsidRDefault="00C42291">
            <w:pPr>
              <w:jc w:val="right"/>
            </w:pPr>
            <w:r>
              <w:t>50.636</w:t>
            </w:r>
          </w:p>
        </w:tc>
        <w:tc>
          <w:tcPr>
            <w:tcW w:w="1632" w:type="dxa"/>
            <w:vAlign w:val="top"/>
          </w:tcPr>
          <w:p w14:paraId="5254B1A1" w14:textId="77777777" w:rsidR="004A7FF1" w:rsidRDefault="00C42291">
            <w:pPr>
              <w:jc w:val="right"/>
            </w:pPr>
            <w:r>
              <w:t>63.272</w:t>
            </w:r>
          </w:p>
        </w:tc>
        <w:tc>
          <w:tcPr>
            <w:tcW w:w="510" w:type="dxa"/>
            <w:vAlign w:val="top"/>
          </w:tcPr>
          <w:p w14:paraId="162F5438" w14:textId="77777777" w:rsidR="004A7FF1" w:rsidRDefault="00C42291">
            <w:pPr>
              <w:jc w:val="right"/>
            </w:pPr>
            <w:r>
              <w:t>70,6</w:t>
            </w:r>
          </w:p>
        </w:tc>
      </w:tr>
    </w:tbl>
    <w:p w14:paraId="1B97B706" w14:textId="77777777" w:rsidR="004A7FF1" w:rsidRDefault="004A7FF1">
      <w:pPr>
        <w:jc w:val="left"/>
      </w:pPr>
    </w:p>
    <w:p w14:paraId="2655231E" w14:textId="77777777" w:rsidR="004A7FF1" w:rsidRDefault="00C42291">
      <w:r>
        <w:t xml:space="preserve">Sredstva ove aktivnosti namijenjena su za nabavu uredske opreme i namještaja, opreme za održavanje i zaštitu neophodno potrebne radi što učinkovitijeg rada Inspektorata i obnavljanja dotrajale opreme za održavanje i zaštitu u narednom proračunskom razdoblju. </w:t>
      </w:r>
    </w:p>
    <w:p w14:paraId="2B3109BF" w14:textId="77777777" w:rsidR="004A7FF1" w:rsidRDefault="00C42291">
      <w:r>
        <w:t xml:space="preserve"> </w:t>
      </w:r>
    </w:p>
    <w:p w14:paraId="134FA1AE" w14:textId="77777777" w:rsidR="004A7FF1" w:rsidRDefault="00C42291">
      <w:r>
        <w:t>Sredstva ove aktivnosti planirana su i za 2024. godinu u iznosu od 63.272 eur, a za 2025. godinu u iznosu od 50.636 eur i 2026. godinu u iznosu od 63.272 eur.</w:t>
      </w:r>
    </w:p>
    <w:sectPr w:rsidR="004A7FF1" w:rsidSect="00F91724">
      <w:headerReference w:type="default" r:id="rId7"/>
      <w:footerReference w:type="default" r:id="rId8"/>
      <w:type w:val="continuous"/>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FBAC65" w14:textId="77777777" w:rsidR="008907F4" w:rsidRDefault="008907F4" w:rsidP="00F352E6">
      <w:r>
        <w:separator/>
      </w:r>
    </w:p>
  </w:endnote>
  <w:endnote w:type="continuationSeparator" w:id="0">
    <w:p w14:paraId="1F49740F" w14:textId="77777777" w:rsidR="008907F4" w:rsidRDefault="008907F4" w:rsidP="00F35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1947E" w14:textId="77777777" w:rsidR="00000000" w:rsidRPr="00D769ED" w:rsidRDefault="00000000" w:rsidP="007D4430">
    <w:pPr>
      <w:pStyle w:val="Podnoje"/>
      <w:pBdr>
        <w:top w:val="none" w:sz="0" w:space="0" w:color="auto"/>
      </w:pBd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911399" w14:textId="77777777" w:rsidR="008907F4" w:rsidRDefault="008907F4" w:rsidP="00F352E6">
      <w:r>
        <w:separator/>
      </w:r>
    </w:p>
  </w:footnote>
  <w:footnote w:type="continuationSeparator" w:id="0">
    <w:p w14:paraId="408D84AA" w14:textId="77777777" w:rsidR="008907F4" w:rsidRDefault="008907F4" w:rsidP="00F352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8EBEA8" w14:textId="77777777" w:rsidR="00000000" w:rsidRDefault="00000000" w:rsidP="00A70582">
    <w:pPr>
      <w:pStyle w:val="Zaglavlje"/>
      <w:pBdr>
        <w:bottom w:val="none" w:sz="0" w:space="0" w:color="auto"/>
      </w:pBdr>
      <w:tabs>
        <w:tab w:val="clear" w:pos="9072"/>
        <w:tab w:val="right" w:pos="9540"/>
      </w:tabs>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0C76"/>
    <w:rsid w:val="00013A1A"/>
    <w:rsid w:val="0002533C"/>
    <w:rsid w:val="000352D6"/>
    <w:rsid w:val="000C0A6C"/>
    <w:rsid w:val="0010779D"/>
    <w:rsid w:val="0013155A"/>
    <w:rsid w:val="00142126"/>
    <w:rsid w:val="0017490A"/>
    <w:rsid w:val="001E5246"/>
    <w:rsid w:val="0027042C"/>
    <w:rsid w:val="00311AA1"/>
    <w:rsid w:val="00344DAB"/>
    <w:rsid w:val="00382225"/>
    <w:rsid w:val="00386953"/>
    <w:rsid w:val="00463609"/>
    <w:rsid w:val="0048077C"/>
    <w:rsid w:val="00480C76"/>
    <w:rsid w:val="004A7FF1"/>
    <w:rsid w:val="004C01B5"/>
    <w:rsid w:val="0052289C"/>
    <w:rsid w:val="00524A66"/>
    <w:rsid w:val="00526A7C"/>
    <w:rsid w:val="00597AC7"/>
    <w:rsid w:val="005A70C0"/>
    <w:rsid w:val="005B6ED7"/>
    <w:rsid w:val="005E2D85"/>
    <w:rsid w:val="00633683"/>
    <w:rsid w:val="00674346"/>
    <w:rsid w:val="006A515A"/>
    <w:rsid w:val="006B3283"/>
    <w:rsid w:val="006C33ED"/>
    <w:rsid w:val="007665AA"/>
    <w:rsid w:val="007A7E45"/>
    <w:rsid w:val="007D1C46"/>
    <w:rsid w:val="007D395B"/>
    <w:rsid w:val="007D4430"/>
    <w:rsid w:val="00847495"/>
    <w:rsid w:val="008636E2"/>
    <w:rsid w:val="008907F4"/>
    <w:rsid w:val="008A7E2A"/>
    <w:rsid w:val="009359F2"/>
    <w:rsid w:val="0094382E"/>
    <w:rsid w:val="00951B1A"/>
    <w:rsid w:val="009E33D3"/>
    <w:rsid w:val="00A021A2"/>
    <w:rsid w:val="00A320E5"/>
    <w:rsid w:val="00A70582"/>
    <w:rsid w:val="00AB5FEA"/>
    <w:rsid w:val="00AB7B4E"/>
    <w:rsid w:val="00B15946"/>
    <w:rsid w:val="00B2737F"/>
    <w:rsid w:val="00B31E2E"/>
    <w:rsid w:val="00B41BF8"/>
    <w:rsid w:val="00B872ED"/>
    <w:rsid w:val="00BA487B"/>
    <w:rsid w:val="00BA7BD1"/>
    <w:rsid w:val="00BB642B"/>
    <w:rsid w:val="00BF02E9"/>
    <w:rsid w:val="00BF3F24"/>
    <w:rsid w:val="00C42291"/>
    <w:rsid w:val="00C70E6F"/>
    <w:rsid w:val="00C7470A"/>
    <w:rsid w:val="00DE2416"/>
    <w:rsid w:val="00E42E87"/>
    <w:rsid w:val="00E578FE"/>
    <w:rsid w:val="00E62EF0"/>
    <w:rsid w:val="00EC1CE2"/>
    <w:rsid w:val="00ED0E3A"/>
    <w:rsid w:val="00F352E6"/>
    <w:rsid w:val="00F67315"/>
    <w:rsid w:val="00F91724"/>
    <w:rsid w:val="00F92AEE"/>
    <w:rsid w:val="00FE4B8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9C7292"/>
  <w15:docId w15:val="{8B5D75BC-09A8-4A24-AF6B-EA0912880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FEA"/>
    <w:pPr>
      <w:overflowPunct w:val="0"/>
      <w:autoSpaceDE w:val="0"/>
      <w:autoSpaceDN w:val="0"/>
      <w:adjustRightInd w:val="0"/>
      <w:spacing w:after="120" w:line="240" w:lineRule="auto"/>
      <w:jc w:val="both"/>
      <w:textAlignment w:val="baseline"/>
    </w:pPr>
    <w:rPr>
      <w:rFonts w:ascii="Times New Roman" w:eastAsia="Times New Roman" w:hAnsi="Times New Roman" w:cs="Times New Roman"/>
      <w:szCs w:val="20"/>
      <w:lang w:val="sl-SI"/>
    </w:rPr>
  </w:style>
  <w:style w:type="paragraph" w:styleId="Naslov1">
    <w:name w:val="heading 1"/>
    <w:basedOn w:val="Normal"/>
    <w:next w:val="Normal"/>
    <w:link w:val="Naslov1Char"/>
    <w:qFormat/>
    <w:rsid w:val="00951B1A"/>
    <w:pPr>
      <w:keepNext/>
      <w:keepLines/>
      <w:pBdr>
        <w:top w:val="single" w:sz="4" w:space="1" w:color="auto"/>
        <w:bottom w:val="single" w:sz="4" w:space="1" w:color="auto"/>
      </w:pBdr>
      <w:shd w:val="clear" w:color="auto" w:fill="E6E6E6"/>
      <w:jc w:val="left"/>
      <w:outlineLvl w:val="0"/>
    </w:pPr>
    <w:rPr>
      <w:b/>
      <w:spacing w:val="20"/>
      <w:sz w:val="32"/>
      <w:szCs w:val="32"/>
    </w:rPr>
  </w:style>
  <w:style w:type="paragraph" w:styleId="Naslov2">
    <w:name w:val="heading 2"/>
    <w:basedOn w:val="Normal"/>
    <w:next w:val="Normal"/>
    <w:link w:val="Naslov2Char"/>
    <w:qFormat/>
    <w:rsid w:val="00E62EF0"/>
    <w:pPr>
      <w:keepNext/>
      <w:keepLines/>
      <w:pBdr>
        <w:top w:val="single" w:sz="4" w:space="1" w:color="auto"/>
        <w:bottom w:val="single" w:sz="4" w:space="1" w:color="auto"/>
      </w:pBdr>
      <w:shd w:val="clear" w:color="auto" w:fill="E6E6E6"/>
      <w:jc w:val="left"/>
      <w:outlineLvl w:val="1"/>
    </w:pPr>
    <w:rPr>
      <w:b/>
      <w:spacing w:val="20"/>
      <w:sz w:val="30"/>
      <w:szCs w:val="30"/>
    </w:rPr>
  </w:style>
  <w:style w:type="paragraph" w:styleId="Naslov3">
    <w:name w:val="heading 3"/>
    <w:basedOn w:val="Normal"/>
    <w:next w:val="Normal"/>
    <w:link w:val="Naslov3Char"/>
    <w:qFormat/>
    <w:rsid w:val="00FE4B89"/>
    <w:pPr>
      <w:keepNext/>
      <w:keepLines/>
      <w:pBdr>
        <w:top w:val="single" w:sz="4" w:space="1" w:color="auto"/>
        <w:bottom w:val="single" w:sz="4" w:space="1" w:color="auto"/>
      </w:pBdr>
      <w:shd w:val="clear" w:color="auto" w:fill="E6E6E6"/>
      <w:overflowPunct/>
      <w:autoSpaceDE/>
      <w:autoSpaceDN/>
      <w:adjustRightInd/>
      <w:spacing w:line="288" w:lineRule="auto"/>
      <w:jc w:val="left"/>
      <w:textAlignment w:val="auto"/>
      <w:outlineLvl w:val="2"/>
    </w:pPr>
    <w:rPr>
      <w:rFonts w:cs="Arial"/>
      <w:b/>
      <w:iCs/>
      <w:spacing w:val="20"/>
      <w:sz w:val="28"/>
      <w:szCs w:val="28"/>
    </w:rPr>
  </w:style>
  <w:style w:type="paragraph" w:styleId="Naslov4">
    <w:name w:val="heading 4"/>
    <w:basedOn w:val="Normal"/>
    <w:next w:val="Normal"/>
    <w:link w:val="Naslov4Char"/>
    <w:qFormat/>
    <w:rsid w:val="00951B1A"/>
    <w:pPr>
      <w:keepNext/>
      <w:keepLines/>
      <w:pBdr>
        <w:top w:val="single" w:sz="4" w:space="1" w:color="auto"/>
        <w:bottom w:val="single" w:sz="4" w:space="1" w:color="auto"/>
      </w:pBdr>
      <w:overflowPunct/>
      <w:autoSpaceDE/>
      <w:autoSpaceDN/>
      <w:adjustRightInd/>
      <w:jc w:val="left"/>
      <w:textAlignment w:val="auto"/>
      <w:outlineLvl w:val="3"/>
    </w:pPr>
    <w:rPr>
      <w:b/>
      <w:bCs/>
      <w:sz w:val="28"/>
      <w:szCs w:val="28"/>
    </w:rPr>
  </w:style>
  <w:style w:type="paragraph" w:styleId="Naslov5">
    <w:name w:val="heading 5"/>
    <w:basedOn w:val="Normal"/>
    <w:next w:val="Normal"/>
    <w:link w:val="Naslov5Char"/>
    <w:qFormat/>
    <w:rsid w:val="00E62EF0"/>
    <w:pPr>
      <w:keepNext/>
      <w:keepLines/>
      <w:jc w:val="left"/>
      <w:outlineLvl w:val="4"/>
    </w:pPr>
    <w:rPr>
      <w:b/>
      <w:sz w:val="26"/>
      <w:szCs w:val="26"/>
    </w:rPr>
  </w:style>
  <w:style w:type="paragraph" w:styleId="Naslov6">
    <w:name w:val="heading 6"/>
    <w:basedOn w:val="Normal"/>
    <w:next w:val="Normal"/>
    <w:link w:val="Naslov6Char"/>
    <w:qFormat/>
    <w:rsid w:val="00E62EF0"/>
    <w:pPr>
      <w:keepNext/>
      <w:keepLines/>
      <w:jc w:val="left"/>
      <w:outlineLvl w:val="5"/>
    </w:pPr>
    <w:rPr>
      <w:b/>
      <w:sz w:val="24"/>
      <w:szCs w:val="24"/>
    </w:rPr>
  </w:style>
  <w:style w:type="paragraph" w:styleId="Naslov7">
    <w:name w:val="heading 7"/>
    <w:basedOn w:val="Normal"/>
    <w:next w:val="Normal"/>
    <w:link w:val="Naslov7Char"/>
    <w:qFormat/>
    <w:rsid w:val="00E62EF0"/>
    <w:pPr>
      <w:keepNext/>
      <w:jc w:val="left"/>
      <w:outlineLvl w:val="6"/>
    </w:pPr>
    <w:rPr>
      <w:b/>
      <w:spacing w:val="24"/>
      <w:szCs w:val="22"/>
    </w:rPr>
  </w:style>
  <w:style w:type="paragraph" w:styleId="Naslov8">
    <w:name w:val="heading 8"/>
    <w:basedOn w:val="Normal6"/>
    <w:next w:val="Normal"/>
    <w:link w:val="Naslov8Char"/>
    <w:uiPriority w:val="9"/>
    <w:unhideWhenUsed/>
    <w:qFormat/>
    <w:rsid w:val="00E62EF0"/>
    <w:pPr>
      <w:keepNext/>
      <w:keepLines/>
      <w:ind w:left="0"/>
      <w:outlineLvl w:val="7"/>
    </w:pPr>
    <w:rPr>
      <w:b/>
    </w:rPr>
  </w:style>
  <w:style w:type="paragraph" w:styleId="Naslov9">
    <w:name w:val="heading 9"/>
    <w:basedOn w:val="Normal"/>
    <w:next w:val="Normal"/>
    <w:link w:val="Naslov9Char"/>
    <w:uiPriority w:val="9"/>
    <w:unhideWhenUsed/>
    <w:qFormat/>
    <w:rsid w:val="00E62EF0"/>
    <w:pPr>
      <w:keepNext/>
      <w:keepLines/>
      <w:outlineLvl w:val="8"/>
    </w:pPr>
    <w:rPr>
      <w:rFonts w:asciiTheme="majorHAnsi" w:eastAsiaTheme="majorEastAsia" w:hAnsiTheme="majorHAnsi" w:cstheme="majorBidi"/>
      <w:i/>
      <w:iCs/>
      <w:color w:val="272727" w:themeColor="text1" w:themeTint="D8"/>
      <w:sz w:val="21"/>
      <w:szCs w:val="21"/>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951B1A"/>
    <w:rPr>
      <w:rFonts w:ascii="Times New Roman" w:eastAsia="Times New Roman" w:hAnsi="Times New Roman" w:cs="Times New Roman"/>
      <w:b/>
      <w:spacing w:val="20"/>
      <w:sz w:val="32"/>
      <w:szCs w:val="32"/>
      <w:shd w:val="clear" w:color="auto" w:fill="E6E6E6"/>
      <w:lang w:val="sl-SI"/>
    </w:rPr>
  </w:style>
  <w:style w:type="character" w:customStyle="1" w:styleId="Naslov2Char">
    <w:name w:val="Naslov 2 Char"/>
    <w:basedOn w:val="Zadanifontodlomka"/>
    <w:link w:val="Naslov2"/>
    <w:rsid w:val="00E62EF0"/>
    <w:rPr>
      <w:rFonts w:ascii="Times New Roman" w:eastAsia="Times New Roman" w:hAnsi="Times New Roman" w:cs="Times New Roman"/>
      <w:b/>
      <w:spacing w:val="20"/>
      <w:sz w:val="30"/>
      <w:szCs w:val="30"/>
      <w:shd w:val="clear" w:color="auto" w:fill="E6E6E6"/>
      <w:lang w:val="sl-SI"/>
    </w:rPr>
  </w:style>
  <w:style w:type="character" w:customStyle="1" w:styleId="Naslov3Char">
    <w:name w:val="Naslov 3 Char"/>
    <w:basedOn w:val="Zadanifontodlomka"/>
    <w:link w:val="Naslov3"/>
    <w:rsid w:val="00FE4B89"/>
    <w:rPr>
      <w:rFonts w:ascii="Times New Roman" w:eastAsia="Times New Roman" w:hAnsi="Times New Roman" w:cs="Arial"/>
      <w:b/>
      <w:iCs/>
      <w:spacing w:val="20"/>
      <w:sz w:val="28"/>
      <w:szCs w:val="28"/>
      <w:shd w:val="clear" w:color="auto" w:fill="E6E6E6"/>
      <w:lang w:val="sl-SI"/>
    </w:rPr>
  </w:style>
  <w:style w:type="character" w:customStyle="1" w:styleId="Naslov4Char">
    <w:name w:val="Naslov 4 Char"/>
    <w:basedOn w:val="Zadanifontodlomka"/>
    <w:link w:val="Naslov4"/>
    <w:rsid w:val="00951B1A"/>
    <w:rPr>
      <w:rFonts w:ascii="Times New Roman" w:eastAsia="Times New Roman" w:hAnsi="Times New Roman" w:cs="Times New Roman"/>
      <w:b/>
      <w:bCs/>
      <w:sz w:val="28"/>
      <w:szCs w:val="28"/>
      <w:lang w:val="sl-SI"/>
    </w:rPr>
  </w:style>
  <w:style w:type="character" w:customStyle="1" w:styleId="Naslov5Char">
    <w:name w:val="Naslov 5 Char"/>
    <w:basedOn w:val="Zadanifontodlomka"/>
    <w:link w:val="Naslov5"/>
    <w:rsid w:val="00E62EF0"/>
    <w:rPr>
      <w:rFonts w:ascii="Times New Roman" w:eastAsia="Times New Roman" w:hAnsi="Times New Roman" w:cs="Times New Roman"/>
      <w:b/>
      <w:sz w:val="26"/>
      <w:szCs w:val="26"/>
      <w:lang w:val="sl-SI"/>
    </w:rPr>
  </w:style>
  <w:style w:type="character" w:customStyle="1" w:styleId="Naslov6Char">
    <w:name w:val="Naslov 6 Char"/>
    <w:basedOn w:val="Zadanifontodlomka"/>
    <w:link w:val="Naslov6"/>
    <w:rsid w:val="00E62EF0"/>
    <w:rPr>
      <w:rFonts w:ascii="Times New Roman" w:eastAsia="Times New Roman" w:hAnsi="Times New Roman" w:cs="Times New Roman"/>
      <w:b/>
      <w:sz w:val="24"/>
      <w:szCs w:val="24"/>
      <w:lang w:val="sl-SI"/>
    </w:rPr>
  </w:style>
  <w:style w:type="character" w:customStyle="1" w:styleId="Naslov7Char">
    <w:name w:val="Naslov 7 Char"/>
    <w:basedOn w:val="Zadanifontodlomka"/>
    <w:link w:val="Naslov7"/>
    <w:rsid w:val="00E62EF0"/>
    <w:rPr>
      <w:rFonts w:ascii="Times New Roman" w:eastAsia="Times New Roman" w:hAnsi="Times New Roman" w:cs="Times New Roman"/>
      <w:b/>
      <w:spacing w:val="24"/>
      <w:lang w:val="sl-SI"/>
    </w:rPr>
  </w:style>
  <w:style w:type="paragraph" w:customStyle="1" w:styleId="KAZALO">
    <w:name w:val="KAZALO"/>
    <w:basedOn w:val="Normal"/>
    <w:rsid w:val="00480C76"/>
    <w:pPr>
      <w:keepNext/>
      <w:spacing w:after="240"/>
      <w:jc w:val="center"/>
    </w:pPr>
    <w:rPr>
      <w:b/>
      <w:bCs/>
      <w:sz w:val="32"/>
      <w:szCs w:val="32"/>
    </w:rPr>
  </w:style>
  <w:style w:type="paragraph" w:styleId="Zaglavlje">
    <w:name w:val="header"/>
    <w:basedOn w:val="Normal"/>
    <w:link w:val="ZaglavljeChar"/>
    <w:semiHidden/>
    <w:rsid w:val="00480C76"/>
    <w:pPr>
      <w:pBdr>
        <w:bottom w:val="single" w:sz="4" w:space="1" w:color="auto"/>
      </w:pBdr>
      <w:tabs>
        <w:tab w:val="center" w:pos="4536"/>
        <w:tab w:val="right" w:pos="9072"/>
      </w:tabs>
    </w:pPr>
    <w:rPr>
      <w:sz w:val="16"/>
    </w:rPr>
  </w:style>
  <w:style w:type="character" w:customStyle="1" w:styleId="ZaglavljeChar">
    <w:name w:val="Zaglavlje Char"/>
    <w:basedOn w:val="Zadanifontodlomka"/>
    <w:link w:val="Zaglavlje"/>
    <w:semiHidden/>
    <w:rsid w:val="00480C76"/>
    <w:rPr>
      <w:rFonts w:ascii="Times New Roman" w:eastAsia="Times New Roman" w:hAnsi="Times New Roman" w:cs="Times New Roman"/>
      <w:sz w:val="16"/>
      <w:szCs w:val="20"/>
      <w:lang w:val="sl-SI"/>
    </w:rPr>
  </w:style>
  <w:style w:type="paragraph" w:styleId="Podnoje">
    <w:name w:val="footer"/>
    <w:basedOn w:val="Normal"/>
    <w:link w:val="PodnojeChar"/>
    <w:semiHidden/>
    <w:rsid w:val="00480C76"/>
    <w:pPr>
      <w:pBdr>
        <w:top w:val="single" w:sz="4" w:space="1" w:color="auto"/>
      </w:pBdr>
      <w:tabs>
        <w:tab w:val="right" w:pos="9540"/>
      </w:tabs>
      <w:ind w:right="-21"/>
      <w:jc w:val="left"/>
    </w:pPr>
    <w:rPr>
      <w:sz w:val="20"/>
    </w:rPr>
  </w:style>
  <w:style w:type="character" w:customStyle="1" w:styleId="PodnojeChar">
    <w:name w:val="Podnožje Char"/>
    <w:basedOn w:val="Zadanifontodlomka"/>
    <w:link w:val="Podnoje"/>
    <w:semiHidden/>
    <w:rsid w:val="00480C76"/>
    <w:rPr>
      <w:rFonts w:ascii="Times New Roman" w:eastAsia="Times New Roman" w:hAnsi="Times New Roman" w:cs="Times New Roman"/>
      <w:sz w:val="20"/>
      <w:szCs w:val="20"/>
      <w:lang w:val="sl-SI"/>
    </w:rPr>
  </w:style>
  <w:style w:type="character" w:styleId="Brojstranice">
    <w:name w:val="page number"/>
    <w:basedOn w:val="Zadanifontodlomka"/>
    <w:semiHidden/>
    <w:rsid w:val="00480C76"/>
  </w:style>
  <w:style w:type="paragraph" w:customStyle="1" w:styleId="Normal3">
    <w:name w:val="Normal 3"/>
    <w:basedOn w:val="Normal"/>
    <w:link w:val="Normal3Char"/>
    <w:rsid w:val="00480C76"/>
    <w:pPr>
      <w:ind w:left="360"/>
    </w:pPr>
  </w:style>
  <w:style w:type="paragraph" w:customStyle="1" w:styleId="Normal4">
    <w:name w:val="Normal 4"/>
    <w:basedOn w:val="Normal"/>
    <w:link w:val="Normal4Char"/>
    <w:rsid w:val="00480C76"/>
    <w:pPr>
      <w:ind w:left="540"/>
    </w:pPr>
  </w:style>
  <w:style w:type="paragraph" w:customStyle="1" w:styleId="Normal5">
    <w:name w:val="Normal 5"/>
    <w:basedOn w:val="Normal"/>
    <w:link w:val="Normal5Char"/>
    <w:rsid w:val="00480C76"/>
    <w:pPr>
      <w:ind w:left="720"/>
    </w:pPr>
  </w:style>
  <w:style w:type="paragraph" w:customStyle="1" w:styleId="Normal6">
    <w:name w:val="Normal 6"/>
    <w:basedOn w:val="Normal"/>
    <w:link w:val="Normal6Char"/>
    <w:rsid w:val="00480C76"/>
    <w:pPr>
      <w:ind w:left="1080"/>
    </w:pPr>
  </w:style>
  <w:style w:type="character" w:customStyle="1" w:styleId="Normal3Char">
    <w:name w:val="Normal 3 Char"/>
    <w:basedOn w:val="Zadanifontodlomka"/>
    <w:link w:val="Normal3"/>
    <w:rsid w:val="00480C76"/>
    <w:rPr>
      <w:rFonts w:ascii="Times New Roman" w:eastAsia="Times New Roman" w:hAnsi="Times New Roman" w:cs="Times New Roman"/>
      <w:szCs w:val="20"/>
      <w:lang w:val="sl-SI"/>
    </w:rPr>
  </w:style>
  <w:style w:type="character" w:customStyle="1" w:styleId="Normal5Char">
    <w:name w:val="Normal 5 Char"/>
    <w:basedOn w:val="Zadanifontodlomka"/>
    <w:link w:val="Normal5"/>
    <w:rsid w:val="00480C76"/>
    <w:rPr>
      <w:rFonts w:ascii="Times New Roman" w:eastAsia="Times New Roman" w:hAnsi="Times New Roman" w:cs="Times New Roman"/>
      <w:szCs w:val="20"/>
      <w:lang w:val="sl-SI"/>
    </w:rPr>
  </w:style>
  <w:style w:type="character" w:customStyle="1" w:styleId="Normal4Char">
    <w:name w:val="Normal 4 Char"/>
    <w:basedOn w:val="Zadanifontodlomka"/>
    <w:link w:val="Normal4"/>
    <w:rsid w:val="00480C76"/>
    <w:rPr>
      <w:rFonts w:ascii="Times New Roman" w:eastAsia="Times New Roman" w:hAnsi="Times New Roman" w:cs="Times New Roman"/>
      <w:szCs w:val="20"/>
      <w:lang w:val="sl-SI"/>
    </w:rPr>
  </w:style>
  <w:style w:type="character" w:styleId="Istaknuto">
    <w:name w:val="Emphasis"/>
    <w:basedOn w:val="Zadanifontodlomka"/>
    <w:qFormat/>
    <w:rsid w:val="00480C76"/>
    <w:rPr>
      <w:b/>
      <w:bCs/>
      <w:i w:val="0"/>
      <w:iCs w:val="0"/>
    </w:rPr>
  </w:style>
  <w:style w:type="character" w:styleId="Naglaeno">
    <w:name w:val="Strong"/>
    <w:basedOn w:val="Zadanifontodlomka"/>
    <w:qFormat/>
    <w:rsid w:val="00480C76"/>
    <w:rPr>
      <w:b/>
      <w:bCs/>
    </w:rPr>
  </w:style>
  <w:style w:type="character" w:styleId="Hiperveza">
    <w:name w:val="Hyperlink"/>
    <w:basedOn w:val="Zadanifontodlomka"/>
    <w:rsid w:val="00480C76"/>
    <w:rPr>
      <w:color w:val="0000FF"/>
      <w:u w:val="single"/>
    </w:rPr>
  </w:style>
  <w:style w:type="table" w:styleId="Reetkatablice">
    <w:name w:val="Table Grid"/>
    <w:basedOn w:val="Obinatablica"/>
    <w:rsid w:val="00480C76"/>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6Char">
    <w:name w:val="Normal 6 Char"/>
    <w:basedOn w:val="Zadanifontodlomka"/>
    <w:link w:val="Normal6"/>
    <w:rsid w:val="00480C76"/>
    <w:rPr>
      <w:rFonts w:ascii="Times New Roman" w:eastAsia="Times New Roman" w:hAnsi="Times New Roman" w:cs="Times New Roman"/>
      <w:szCs w:val="20"/>
      <w:lang w:val="sl-SI"/>
    </w:rPr>
  </w:style>
  <w:style w:type="paragraph" w:customStyle="1" w:styleId="CellHeader">
    <w:name w:val="CellHeader"/>
    <w:basedOn w:val="Normal"/>
    <w:qFormat/>
    <w:rsid w:val="00BB642B"/>
    <w:rPr>
      <w:rFonts w:cs="Arial"/>
      <w:bCs/>
      <w:sz w:val="20"/>
      <w:szCs w:val="22"/>
      <w:lang w:eastAsia="hr-HR"/>
    </w:rPr>
  </w:style>
  <w:style w:type="paragraph" w:customStyle="1" w:styleId="CellColumn">
    <w:name w:val="CellColumn"/>
    <w:basedOn w:val="CellHeader"/>
    <w:qFormat/>
    <w:rsid w:val="00BB642B"/>
  </w:style>
  <w:style w:type="character" w:customStyle="1" w:styleId="Naslov8Char">
    <w:name w:val="Naslov 8 Char"/>
    <w:basedOn w:val="Zadanifontodlomka"/>
    <w:link w:val="Naslov8"/>
    <w:uiPriority w:val="9"/>
    <w:rsid w:val="00E62EF0"/>
    <w:rPr>
      <w:rFonts w:ascii="Times New Roman" w:eastAsia="Times New Roman" w:hAnsi="Times New Roman" w:cs="Times New Roman"/>
      <w:b/>
      <w:szCs w:val="20"/>
      <w:lang w:val="sl-SI"/>
    </w:rPr>
  </w:style>
  <w:style w:type="character" w:customStyle="1" w:styleId="Naslov9Char">
    <w:name w:val="Naslov 9 Char"/>
    <w:basedOn w:val="Zadanifontodlomka"/>
    <w:link w:val="Naslov9"/>
    <w:uiPriority w:val="9"/>
    <w:rsid w:val="00E62EF0"/>
    <w:rPr>
      <w:rFonts w:asciiTheme="majorHAnsi" w:eastAsiaTheme="majorEastAsia" w:hAnsiTheme="majorHAnsi" w:cstheme="majorBidi"/>
      <w:i/>
      <w:iCs/>
      <w:color w:val="272727" w:themeColor="text1" w:themeTint="D8"/>
      <w:sz w:val="21"/>
      <w:szCs w:val="21"/>
      <w:lang w:val="sl-SI"/>
    </w:rPr>
  </w:style>
  <w:style w:type="table" w:customStyle="1" w:styleId="Style1">
    <w:name w:val="Style1"/>
    <w:basedOn w:val="Obinatablica"/>
    <w:uiPriority w:val="99"/>
    <w:rsid w:val="007A7E45"/>
    <w:pPr>
      <w:keepLines/>
      <w:spacing w:after="0" w:line="240" w:lineRule="auto"/>
      <w:jc w:val="center"/>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rPr>
      <w:cantSplit/>
    </w:trPr>
    <w:tcPr>
      <w:vAlign w:val="center"/>
    </w:tcPr>
    <w:tblStylePr w:type="firstRow">
      <w:pPr>
        <w:jc w:val="center"/>
      </w:pPr>
      <w:rPr>
        <w:rFonts w:ascii="Times New Roman" w:hAnsi="Times New Roman"/>
        <w:sz w:val="20"/>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style>
  <w:style w:type="table" w:customStyle="1" w:styleId="StilTablice">
    <w:name w:val="StilTablice"/>
    <w:basedOn w:val="Obinatablica"/>
    <w:uiPriority w:val="99"/>
    <w:rsid w:val="00ED0E3A"/>
    <w:pPr>
      <w:spacing w:after="120" w:line="240" w:lineRule="auto"/>
      <w:jc w:val="center"/>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rPr>
      <w:cantSplit/>
    </w:trPr>
    <w:tcPr>
      <w:vAlign w:val="center"/>
    </w:tcPr>
  </w:style>
  <w:style w:type="paragraph" w:customStyle="1" w:styleId="NormalSpecial">
    <w:name w:val="NormalSpecial"/>
    <w:basedOn w:val="Normal"/>
    <w:next w:val="Normal"/>
    <w:qFormat/>
    <w:rsid w:val="0027042C"/>
    <w:pPr>
      <w:keepNext/>
      <w:spacing w:after="0"/>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7768F7-305B-46C5-946F-2BB79C8F5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7090</Words>
  <Characters>40413</Characters>
  <Application>Microsoft Office Word</Application>
  <DocSecurity>0</DocSecurity>
  <Lines>336</Lines>
  <Paragraphs>94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Anita Marasović</dc:creator>
  <cp:lastModifiedBy>Josipa Veger</cp:lastModifiedBy>
  <cp:revision>2</cp:revision>
  <dcterms:created xsi:type="dcterms:W3CDTF">2025-04-01T07:58:00Z</dcterms:created>
  <dcterms:modified xsi:type="dcterms:W3CDTF">2025-04-01T07:58:00Z</dcterms:modified>
</cp:coreProperties>
</file>