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D21" w:rsidRDefault="00CC0D21" w:rsidP="00CC0D21">
      <w:pPr>
        <w:pStyle w:val="Caption"/>
        <w:spacing w:after="0"/>
        <w:rPr>
          <w:rFonts w:ascii="Times New Roman" w:hAnsi="Times New Roman"/>
          <w:b w:val="0"/>
          <w:noProof/>
          <w:color w:val="000000" w:themeColor="text1"/>
          <w:sz w:val="22"/>
          <w:szCs w:val="22"/>
          <w:lang w:eastAsia="hr-HR"/>
        </w:rPr>
      </w:pPr>
      <w:r>
        <w:rPr>
          <w:rFonts w:ascii="Times New Roman" w:hAnsi="Times New Roman"/>
          <w:b w:val="0"/>
          <w:noProof/>
          <w:color w:val="000000" w:themeColor="text1"/>
          <w:sz w:val="22"/>
          <w:szCs w:val="22"/>
          <w:lang w:eastAsia="hr-HR"/>
        </w:rPr>
        <w:t xml:space="preserve">                               </w:t>
      </w:r>
      <w:r>
        <w:rPr>
          <w:rFonts w:ascii="Times New Roman" w:hAnsi="Times New Roman"/>
          <w:b w:val="0"/>
          <w:noProof/>
          <w:color w:val="000000" w:themeColor="text1"/>
          <w:sz w:val="22"/>
          <w:szCs w:val="22"/>
          <w:lang w:eastAsia="hr-HR"/>
        </w:rPr>
        <w:drawing>
          <wp:inline distT="0" distB="0" distL="0" distR="0">
            <wp:extent cx="666115" cy="69977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D21" w:rsidRDefault="00CC0D21" w:rsidP="00CC0D21">
      <w:pPr>
        <w:spacing w:after="0"/>
        <w:rPr>
          <w:rFonts w:ascii="Times New Roman" w:hAnsi="Times New Roman" w:cs="Times New Roman"/>
          <w:b/>
          <w:color w:val="000000" w:themeColor="text1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                 REPUBLIKA HRVATSKA</w:t>
      </w:r>
    </w:p>
    <w:p w:rsidR="00CC0D21" w:rsidRDefault="00CC0D21" w:rsidP="00CC0D21">
      <w:pPr>
        <w:spacing w:after="0"/>
        <w:rPr>
          <w:rFonts w:ascii="Times New Roman" w:hAnsi="Times New Roman" w:cs="Times New Roman"/>
          <w:b/>
          <w:color w:val="000000" w:themeColor="text1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 DUBROVAČKO-NERETVANSKA ŽUPANIJA</w:t>
      </w:r>
    </w:p>
    <w:p w:rsidR="00CC0D21" w:rsidRDefault="00CC0D21" w:rsidP="00CC0D21">
      <w:pPr>
        <w:spacing w:after="0"/>
        <w:rPr>
          <w:rFonts w:ascii="Times New Roman" w:hAnsi="Times New Roman" w:cs="Times New Roman"/>
          <w:b/>
          <w:color w:val="000000" w:themeColor="text1"/>
          <w:lang w:val="de-DE" w:eastAsia="en-US"/>
        </w:rPr>
      </w:pPr>
      <w:r>
        <w:rPr>
          <w:rFonts w:ascii="Times New Roman" w:hAnsi="Times New Roman" w:cs="Times New Roman"/>
          <w:b/>
          <w:color w:val="000000" w:themeColor="text1"/>
          <w:lang w:val="de-DE" w:eastAsia="en-US"/>
        </w:rPr>
        <w:t xml:space="preserve">                       GRAD KORČULA</w:t>
      </w:r>
    </w:p>
    <w:p w:rsidR="00CC0D21" w:rsidRDefault="00CC0D21" w:rsidP="00CC0D21">
      <w:pPr>
        <w:spacing w:after="0"/>
        <w:rPr>
          <w:rFonts w:ascii="Times New Roman" w:hAnsi="Times New Roman" w:cs="Times New Roman"/>
          <w:b/>
          <w:color w:val="000000" w:themeColor="text1"/>
          <w:lang w:val="de-DE" w:eastAsia="en-US"/>
        </w:rPr>
      </w:pPr>
      <w:r>
        <w:rPr>
          <w:rFonts w:ascii="Times New Roman" w:hAnsi="Times New Roman" w:cs="Times New Roman"/>
          <w:b/>
          <w:color w:val="000000" w:themeColor="text1"/>
          <w:lang w:val="de-DE" w:eastAsia="en-US"/>
        </w:rPr>
        <w:t xml:space="preserve">                           Gradonačelnica</w:t>
      </w:r>
    </w:p>
    <w:p w:rsidR="00CC0D21" w:rsidRDefault="00CC0D21" w:rsidP="00CC0D21">
      <w:pPr>
        <w:spacing w:after="0"/>
        <w:rPr>
          <w:lang w:eastAsia="hr-HR"/>
        </w:rPr>
      </w:pPr>
    </w:p>
    <w:p w:rsidR="00CC0D21" w:rsidRDefault="004E59BA" w:rsidP="00CC0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008-01/22</w:t>
      </w:r>
      <w:r w:rsidR="00CC0D21">
        <w:rPr>
          <w:rFonts w:ascii="Times New Roman" w:hAnsi="Times New Roman" w:cs="Times New Roman"/>
          <w:sz w:val="24"/>
          <w:szCs w:val="24"/>
        </w:rPr>
        <w:t xml:space="preserve">-01/01                                                                                                       </w:t>
      </w:r>
    </w:p>
    <w:p w:rsidR="00CC0D21" w:rsidRDefault="00366493" w:rsidP="00CC0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2117-9-02-22</w:t>
      </w:r>
      <w:r w:rsidR="00CC0D21">
        <w:rPr>
          <w:rFonts w:ascii="Times New Roman" w:hAnsi="Times New Roman" w:cs="Times New Roman"/>
          <w:sz w:val="24"/>
          <w:szCs w:val="24"/>
        </w:rPr>
        <w:t xml:space="preserve">-1                                                                                                      </w:t>
      </w:r>
    </w:p>
    <w:p w:rsidR="00CC0D21" w:rsidRDefault="00366493" w:rsidP="00CC0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Korčula, 19. siječnja 2022</w:t>
      </w:r>
      <w:r w:rsidR="00CC0D21"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:rsidR="00CC0D21" w:rsidRDefault="00CC0D21" w:rsidP="00CC0D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D21" w:rsidRDefault="00CC0D21" w:rsidP="00CC0D21">
      <w:pPr>
        <w:widowControl w:val="0"/>
        <w:autoSpaceDE w:val="0"/>
        <w:autoSpaceDN w:val="0"/>
        <w:spacing w:after="0" w:line="240" w:lineRule="auto"/>
        <w:ind w:left="116" w:right="112" w:firstLine="59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Na temelju članka 11. stavka 5. Zakona o pravu na pristup informacijama („Narodne novine“, broj 25/13, 85/15) i članka 78. stavka 1. točke 22. i članka 141. stavka 1. Statuta Grada Korčule („Službeni glasnik Grada Korčule“, broj 3/18, 3/21</w:t>
      </w:r>
      <w:r w:rsidR="00366493">
        <w:rPr>
          <w:rFonts w:ascii="Times New Roman" w:eastAsia="Times New Roman" w:hAnsi="Times New Roman" w:cs="Times New Roman"/>
          <w:sz w:val="24"/>
          <w:szCs w:val="24"/>
          <w:lang w:eastAsia="en-US"/>
        </w:rPr>
        <w:t>), gradonačelnica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Grada Korčule donosi</w:t>
      </w:r>
    </w:p>
    <w:p w:rsidR="00CC0D21" w:rsidRDefault="00CC0D21" w:rsidP="00CC0D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0D21" w:rsidRDefault="00CC0D21" w:rsidP="00CC0D21">
      <w:pPr>
        <w:widowControl w:val="0"/>
        <w:autoSpaceDE w:val="0"/>
        <w:autoSpaceDN w:val="0"/>
        <w:spacing w:after="0" w:line="240" w:lineRule="auto"/>
        <w:ind w:left="1380" w:right="13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PLAN</w:t>
      </w:r>
    </w:p>
    <w:p w:rsidR="00CC0D21" w:rsidRDefault="00CC0D21" w:rsidP="00CC0D21">
      <w:pPr>
        <w:widowControl w:val="0"/>
        <w:autoSpaceDE w:val="0"/>
        <w:autoSpaceDN w:val="0"/>
        <w:spacing w:after="0" w:line="240" w:lineRule="auto"/>
        <w:ind w:left="1380" w:right="138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>savjetovanja s javnošću Grada Korčule za 2022. godinu</w:t>
      </w:r>
    </w:p>
    <w:p w:rsidR="00CC0D21" w:rsidRDefault="00CC0D21" w:rsidP="00CC0D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C0D21" w:rsidRDefault="00CC0D21" w:rsidP="00CC0D21">
      <w:pPr>
        <w:widowControl w:val="0"/>
        <w:autoSpaceDE w:val="0"/>
        <w:autoSpaceDN w:val="0"/>
        <w:spacing w:after="0" w:line="240" w:lineRule="auto"/>
        <w:ind w:left="1378" w:right="138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1.</w:t>
      </w:r>
    </w:p>
    <w:p w:rsidR="00CC0D21" w:rsidRDefault="00CC0D21" w:rsidP="00CC0D21">
      <w:pPr>
        <w:widowControl w:val="0"/>
        <w:autoSpaceDE w:val="0"/>
        <w:autoSpaceDN w:val="0"/>
        <w:spacing w:before="183" w:after="0" w:line="256" w:lineRule="auto"/>
        <w:ind w:left="116" w:right="11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Gradonačelnica Grada Korčule donosi Plan savjetovanja s javnošću Grada Korčule za 2022. godinu (u daljnjem tekstu: Plan).</w:t>
      </w:r>
    </w:p>
    <w:p w:rsidR="00CC0D21" w:rsidRDefault="00CC0D21" w:rsidP="00CC0D21">
      <w:pPr>
        <w:widowControl w:val="0"/>
        <w:autoSpaceDE w:val="0"/>
        <w:autoSpaceDN w:val="0"/>
        <w:spacing w:before="157" w:after="0" w:line="240" w:lineRule="auto"/>
        <w:ind w:left="1380" w:right="138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2.</w:t>
      </w:r>
    </w:p>
    <w:p w:rsidR="00CC0D21" w:rsidRDefault="00CC0D21" w:rsidP="00CC0D21">
      <w:pPr>
        <w:widowControl w:val="0"/>
        <w:autoSpaceDE w:val="0"/>
        <w:autoSpaceDN w:val="0"/>
        <w:spacing w:before="182" w:after="0" w:line="256" w:lineRule="auto"/>
        <w:ind w:left="116" w:right="11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Popis akata prije čijeg donošenja se planira provođenje savjetovanja s javnošću temeljem Zakona o pravu na pristup informacijama, nositelj izrade akta, očekivano vrijeme donošenja akta, okvirno vrijeme provedbe internetskog savjetovanja, trajanje savjetovanja i donositelji akta, iskazani su u tablici koja je sastavni dio ovog Plana.</w:t>
      </w:r>
    </w:p>
    <w:p w:rsidR="00CC0D21" w:rsidRDefault="00CC0D21" w:rsidP="00CC0D21">
      <w:pPr>
        <w:widowControl w:val="0"/>
        <w:autoSpaceDE w:val="0"/>
        <w:autoSpaceDN w:val="0"/>
        <w:spacing w:before="160" w:after="0" w:line="240" w:lineRule="auto"/>
        <w:ind w:left="1380" w:right="138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3.</w:t>
      </w:r>
    </w:p>
    <w:p w:rsidR="00CC0D21" w:rsidRDefault="00CC0D21" w:rsidP="00CC0D21">
      <w:pPr>
        <w:widowControl w:val="0"/>
        <w:autoSpaceDE w:val="0"/>
        <w:autoSpaceDN w:val="0"/>
        <w:spacing w:before="182" w:after="0" w:line="256" w:lineRule="auto"/>
        <w:ind w:left="116" w:right="11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Zadužuju se upravni odjeli Grada Korčule za provođenje savjetovanja s javnošću sukladno Zakonu o pravu na pristup informacijama, a na temelju ovog Plana.</w:t>
      </w:r>
    </w:p>
    <w:p w:rsidR="00CC0D21" w:rsidRDefault="00CC0D21" w:rsidP="00CC0D21">
      <w:pPr>
        <w:widowControl w:val="0"/>
        <w:autoSpaceDE w:val="0"/>
        <w:autoSpaceDN w:val="0"/>
        <w:spacing w:before="160" w:after="0" w:line="240" w:lineRule="auto"/>
        <w:ind w:left="1380" w:right="138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Članak 4.</w:t>
      </w:r>
    </w:p>
    <w:p w:rsidR="00CC0D21" w:rsidRDefault="00CC0D21" w:rsidP="00CC0D21">
      <w:pPr>
        <w:widowControl w:val="0"/>
        <w:autoSpaceDE w:val="0"/>
        <w:autoSpaceDN w:val="0"/>
        <w:spacing w:before="182" w:after="0" w:line="256" w:lineRule="auto"/>
        <w:ind w:left="116" w:right="10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Ovaj Plan i tablica iz članka 2. ovog Plana bit će objavljeni na web stranici Grada Korčule (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0462C1"/>
            <w:sz w:val="24"/>
            <w:szCs w:val="24"/>
            <w:lang w:eastAsia="en-US"/>
          </w:rPr>
          <w:t>www.korcula.hr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CC0D21" w:rsidRDefault="00CC0D21" w:rsidP="00CC0D21">
      <w:pPr>
        <w:spacing w:after="0"/>
        <w:jc w:val="center"/>
      </w:pPr>
      <w:r>
        <w:t xml:space="preserve">                                                                                                         </w:t>
      </w:r>
    </w:p>
    <w:p w:rsidR="00CC0D21" w:rsidRDefault="00CC0D21" w:rsidP="00CC0D21">
      <w:pPr>
        <w:spacing w:after="0"/>
        <w:jc w:val="center"/>
      </w:pPr>
    </w:p>
    <w:p w:rsidR="00CC0D21" w:rsidRDefault="00CC0D21" w:rsidP="00CC0D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GRADONAČELNICA</w:t>
      </w:r>
    </w:p>
    <w:p w:rsidR="00D874E0" w:rsidRPr="00D874E0" w:rsidRDefault="00CC0D21" w:rsidP="00D87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D874E0" w:rsidRPr="00D874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Nika Silić Maroević, dipl. ing. </w:t>
      </w:r>
    </w:p>
    <w:tbl>
      <w:tblPr>
        <w:tblStyle w:val="TableGrid"/>
        <w:tblpPr w:leftFromText="180" w:rightFromText="180" w:vertAnchor="text" w:horzAnchor="margin" w:tblpY="-1416"/>
        <w:tblW w:w="14601" w:type="dxa"/>
        <w:tblLook w:val="04A0" w:firstRow="1" w:lastRow="0" w:firstColumn="1" w:lastColumn="0" w:noHBand="0" w:noVBand="1"/>
      </w:tblPr>
      <w:tblGrid>
        <w:gridCol w:w="705"/>
        <w:gridCol w:w="3314"/>
        <w:gridCol w:w="2154"/>
        <w:gridCol w:w="1858"/>
        <w:gridCol w:w="1525"/>
        <w:gridCol w:w="1971"/>
        <w:gridCol w:w="1396"/>
        <w:gridCol w:w="1678"/>
      </w:tblGrid>
      <w:tr w:rsidR="00D874E0" w:rsidRPr="00947EE6" w:rsidTr="00D874E0">
        <w:trPr>
          <w:trHeight w:val="1131"/>
        </w:trPr>
        <w:tc>
          <w:tcPr>
            <w:tcW w:w="1460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874E0" w:rsidRPr="000F7265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874E0" w:rsidRPr="000F7265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0F7265">
              <w:rPr>
                <w:rFonts w:ascii="Arial" w:hAnsi="Arial" w:cs="Arial"/>
                <w:b/>
                <w:color w:val="000000"/>
              </w:rPr>
              <w:t>Naziv tijela: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F7265">
              <w:rPr>
                <w:rFonts w:ascii="Arial" w:hAnsi="Arial" w:cs="Arial"/>
                <w:b/>
                <w:color w:val="000000"/>
              </w:rPr>
              <w:t>GRAD KORČULA</w:t>
            </w:r>
          </w:p>
          <w:p w:rsidR="00D874E0" w:rsidRPr="00947EE6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F7265">
              <w:rPr>
                <w:rFonts w:ascii="Arial" w:hAnsi="Arial" w:cs="Arial"/>
                <w:b/>
                <w:color w:val="000000"/>
              </w:rPr>
              <w:t>Plan savjetovanja s javnošću za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0F7265">
              <w:rPr>
                <w:rFonts w:ascii="Arial" w:hAnsi="Arial" w:cs="Arial"/>
                <w:b/>
                <w:color w:val="000000"/>
              </w:rPr>
              <w:t>.</w:t>
            </w: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Pr="009B61AE">
              <w:rPr>
                <w:rFonts w:ascii="Arial" w:hAnsi="Arial" w:cs="Arial"/>
                <w:b/>
                <w:color w:val="000000"/>
              </w:rPr>
              <w:t>godinu</w:t>
            </w:r>
          </w:p>
        </w:tc>
      </w:tr>
      <w:tr w:rsidR="00D874E0" w:rsidRPr="00947EE6" w:rsidTr="00D874E0">
        <w:trPr>
          <w:trHeight w:val="1056"/>
        </w:trPr>
        <w:tc>
          <w:tcPr>
            <w:tcW w:w="705" w:type="dxa"/>
            <w:tcBorders>
              <w:left w:val="single" w:sz="12" w:space="0" w:color="auto"/>
            </w:tcBorders>
            <w:vAlign w:val="center"/>
          </w:tcPr>
          <w:p w:rsidR="00D874E0" w:rsidRPr="00947EE6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314" w:type="dxa"/>
            <w:vAlign w:val="center"/>
          </w:tcPr>
          <w:p w:rsidR="00D874E0" w:rsidRPr="00947EE6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2154" w:type="dxa"/>
            <w:vAlign w:val="center"/>
          </w:tcPr>
          <w:p w:rsidR="00D874E0" w:rsidRPr="00947EE6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858" w:type="dxa"/>
            <w:vAlign w:val="center"/>
          </w:tcPr>
          <w:p w:rsidR="00D874E0" w:rsidRPr="00947EE6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Očekivano vrijeme donošenja akta</w:t>
            </w:r>
          </w:p>
        </w:tc>
        <w:tc>
          <w:tcPr>
            <w:tcW w:w="1525" w:type="dxa"/>
            <w:vAlign w:val="center"/>
          </w:tcPr>
          <w:p w:rsidR="00D874E0" w:rsidRPr="00947EE6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Način provedbe savjetovanja</w:t>
            </w:r>
          </w:p>
        </w:tc>
        <w:tc>
          <w:tcPr>
            <w:tcW w:w="1971" w:type="dxa"/>
            <w:vAlign w:val="center"/>
          </w:tcPr>
          <w:p w:rsidR="00D874E0" w:rsidRPr="00947EE6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Okvirno vrijeme provedbe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internetskog </w:t>
            </w: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savjetovanja</w:t>
            </w:r>
          </w:p>
        </w:tc>
        <w:tc>
          <w:tcPr>
            <w:tcW w:w="1396" w:type="dxa"/>
            <w:vAlign w:val="center"/>
          </w:tcPr>
          <w:p w:rsidR="00D874E0" w:rsidRPr="00947EE6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Trajanje savjetovanja</w:t>
            </w:r>
          </w:p>
        </w:tc>
        <w:tc>
          <w:tcPr>
            <w:tcW w:w="1678" w:type="dxa"/>
            <w:tcBorders>
              <w:right w:val="single" w:sz="12" w:space="0" w:color="auto"/>
            </w:tcBorders>
            <w:vAlign w:val="center"/>
          </w:tcPr>
          <w:p w:rsidR="00D874E0" w:rsidRPr="00947EE6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Donositelj akta </w:t>
            </w:r>
          </w:p>
        </w:tc>
      </w:tr>
      <w:tr w:rsidR="00D874E0" w:rsidTr="00D874E0">
        <w:trPr>
          <w:trHeight w:val="1679"/>
        </w:trPr>
        <w:tc>
          <w:tcPr>
            <w:tcW w:w="705" w:type="dxa"/>
            <w:tcBorders>
              <w:left w:val="single" w:sz="12" w:space="0" w:color="auto"/>
            </w:tcBorders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14" w:type="dxa"/>
            <w:vAlign w:val="center"/>
          </w:tcPr>
          <w:p w:rsidR="00D874E0" w:rsidRPr="00735752" w:rsidRDefault="00D874E0" w:rsidP="00D874E0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35752">
              <w:rPr>
                <w:rFonts w:ascii="Times New Roman" w:hAnsi="Times New Roman" w:cs="Times New Roman"/>
                <w:sz w:val="20"/>
                <w:szCs w:val="20"/>
              </w:rPr>
              <w:t>Nacrt odluke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zborovima građana</w:t>
            </w:r>
          </w:p>
          <w:p w:rsidR="00D874E0" w:rsidRPr="00140FDF" w:rsidRDefault="00D874E0" w:rsidP="00D874E0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 za opće poslove i mjesnu samoupravu</w:t>
            </w:r>
          </w:p>
        </w:tc>
        <w:tc>
          <w:tcPr>
            <w:tcW w:w="1858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tromjesečje</w:t>
            </w:r>
          </w:p>
        </w:tc>
        <w:tc>
          <w:tcPr>
            <w:tcW w:w="1525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71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396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8" w:type="dxa"/>
            <w:tcBorders>
              <w:right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Gradsko vijeće</w:t>
            </w:r>
          </w:p>
        </w:tc>
      </w:tr>
      <w:tr w:rsidR="00D874E0" w:rsidTr="00D874E0">
        <w:trPr>
          <w:trHeight w:val="1124"/>
        </w:trPr>
        <w:tc>
          <w:tcPr>
            <w:tcW w:w="705" w:type="dxa"/>
            <w:tcBorders>
              <w:left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314" w:type="dxa"/>
            <w:vAlign w:val="center"/>
          </w:tcPr>
          <w:p w:rsidR="00D874E0" w:rsidRPr="00735752" w:rsidRDefault="00D874E0" w:rsidP="00D874E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Nacrt Odluke o načinu podnošenja prijedloga i peticija i odlučivanja o njima</w:t>
            </w:r>
          </w:p>
        </w:tc>
        <w:tc>
          <w:tcPr>
            <w:tcW w:w="2154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 za opće poslove i mjesnu samoupravu</w:t>
            </w:r>
          </w:p>
        </w:tc>
        <w:tc>
          <w:tcPr>
            <w:tcW w:w="1858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tromjesečje</w:t>
            </w:r>
          </w:p>
        </w:tc>
        <w:tc>
          <w:tcPr>
            <w:tcW w:w="1525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Internetsko</w:t>
            </w:r>
          </w:p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savjetovanje</w:t>
            </w:r>
          </w:p>
        </w:tc>
        <w:tc>
          <w:tcPr>
            <w:tcW w:w="1971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396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8" w:type="dxa"/>
            <w:tcBorders>
              <w:right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Gradsko vijeće</w:t>
            </w:r>
          </w:p>
        </w:tc>
      </w:tr>
      <w:tr w:rsidR="00D874E0" w:rsidRPr="00D64C6F" w:rsidTr="00D874E0">
        <w:trPr>
          <w:trHeight w:val="445"/>
        </w:trPr>
        <w:tc>
          <w:tcPr>
            <w:tcW w:w="705" w:type="dxa"/>
            <w:tcBorders>
              <w:left w:val="single" w:sz="12" w:space="0" w:color="auto"/>
            </w:tcBorders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D64C6F">
              <w:rPr>
                <w:color w:val="000000"/>
                <w:sz w:val="20"/>
                <w:szCs w:val="20"/>
              </w:rPr>
              <w:t>.</w:t>
            </w:r>
          </w:p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Nacrt odluke o komunalnim djelatnostima</w:t>
            </w:r>
          </w:p>
        </w:tc>
        <w:tc>
          <w:tcPr>
            <w:tcW w:w="2154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r w:rsidRPr="00D64C6F">
              <w:rPr>
                <w:sz w:val="20"/>
                <w:szCs w:val="20"/>
              </w:rPr>
              <w:t>UO za prostorno uređenje, gradnju, zaštitu okoliša, komunalno gospodarstvo i promet</w:t>
            </w:r>
          </w:p>
        </w:tc>
        <w:tc>
          <w:tcPr>
            <w:tcW w:w="1858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D64C6F">
              <w:rPr>
                <w:color w:val="000000"/>
                <w:sz w:val="20"/>
                <w:szCs w:val="20"/>
              </w:rPr>
              <w:t>. tromjesečje</w:t>
            </w:r>
          </w:p>
        </w:tc>
        <w:tc>
          <w:tcPr>
            <w:tcW w:w="1525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71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396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8" w:type="dxa"/>
            <w:tcBorders>
              <w:right w:val="single" w:sz="12" w:space="0" w:color="auto"/>
            </w:tcBorders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Gradsko vijeće</w:t>
            </w:r>
          </w:p>
        </w:tc>
      </w:tr>
      <w:tr w:rsidR="00D874E0" w:rsidTr="00D874E0">
        <w:trPr>
          <w:trHeight w:val="709"/>
        </w:trPr>
        <w:tc>
          <w:tcPr>
            <w:tcW w:w="705" w:type="dxa"/>
            <w:tcBorders>
              <w:left w:val="single" w:sz="12" w:space="0" w:color="auto"/>
            </w:tcBorders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314" w:type="dxa"/>
            <w:vAlign w:val="center"/>
          </w:tcPr>
          <w:p w:rsidR="00D874E0" w:rsidRPr="00EE501E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EE501E">
              <w:rPr>
                <w:sz w:val="20"/>
                <w:szCs w:val="20"/>
              </w:rPr>
              <w:t>Nacrt odluke o organizaciji i načinu naplate parkiranja u Gradu Korčuli</w:t>
            </w:r>
          </w:p>
        </w:tc>
        <w:tc>
          <w:tcPr>
            <w:tcW w:w="2154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r w:rsidRPr="00D64C6F">
              <w:rPr>
                <w:sz w:val="20"/>
                <w:szCs w:val="20"/>
              </w:rPr>
              <w:t>UO za prostorno uređenje, gradnju, zaštitu okoliša, komunalno gospodarstvo i promet</w:t>
            </w:r>
          </w:p>
        </w:tc>
        <w:tc>
          <w:tcPr>
            <w:tcW w:w="1858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D64C6F">
              <w:rPr>
                <w:color w:val="000000"/>
                <w:sz w:val="20"/>
                <w:szCs w:val="20"/>
              </w:rPr>
              <w:t>. tromjesečje</w:t>
            </w:r>
          </w:p>
        </w:tc>
        <w:tc>
          <w:tcPr>
            <w:tcW w:w="1525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71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396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8" w:type="dxa"/>
            <w:tcBorders>
              <w:right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Gradsko vijeće</w:t>
            </w:r>
          </w:p>
        </w:tc>
      </w:tr>
      <w:tr w:rsidR="00D874E0" w:rsidTr="00D874E0">
        <w:trPr>
          <w:trHeight w:val="709"/>
        </w:trPr>
        <w:tc>
          <w:tcPr>
            <w:tcW w:w="705" w:type="dxa"/>
            <w:tcBorders>
              <w:left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314" w:type="dxa"/>
            <w:vAlign w:val="center"/>
          </w:tcPr>
          <w:p w:rsidR="00D874E0" w:rsidRPr="00EE501E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Nacrt izmjena i dopuna PPU Grada Korčule</w:t>
            </w:r>
          </w:p>
        </w:tc>
        <w:tc>
          <w:tcPr>
            <w:tcW w:w="2154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r w:rsidRPr="00D64C6F">
              <w:rPr>
                <w:sz w:val="20"/>
                <w:szCs w:val="20"/>
              </w:rPr>
              <w:t>UO za prostorno uređenje, gradnju, zaštitu okoliša, komunalno gospodarstvo i promet</w:t>
            </w:r>
          </w:p>
        </w:tc>
        <w:tc>
          <w:tcPr>
            <w:tcW w:w="1858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D64C6F">
              <w:rPr>
                <w:color w:val="000000"/>
                <w:sz w:val="20"/>
                <w:szCs w:val="20"/>
              </w:rPr>
              <w:t>. tromjesečje</w:t>
            </w:r>
          </w:p>
        </w:tc>
        <w:tc>
          <w:tcPr>
            <w:tcW w:w="1525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71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396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8" w:type="dxa"/>
            <w:tcBorders>
              <w:right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Gradsko vijeće</w:t>
            </w:r>
          </w:p>
        </w:tc>
      </w:tr>
      <w:tr w:rsidR="00D874E0" w:rsidTr="00D874E0">
        <w:trPr>
          <w:trHeight w:val="709"/>
        </w:trPr>
        <w:tc>
          <w:tcPr>
            <w:tcW w:w="705" w:type="dxa"/>
            <w:tcBorders>
              <w:left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314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Nacrt Odluke o uređenju prometa na području Grada Korčule</w:t>
            </w:r>
          </w:p>
        </w:tc>
        <w:tc>
          <w:tcPr>
            <w:tcW w:w="2154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r w:rsidRPr="00D64C6F">
              <w:rPr>
                <w:sz w:val="20"/>
                <w:szCs w:val="20"/>
              </w:rPr>
              <w:t>UO za prostorno uređenje, gradnju, zaštitu okoliša, komunalno gospodarstvo i promet</w:t>
            </w:r>
          </w:p>
        </w:tc>
        <w:tc>
          <w:tcPr>
            <w:tcW w:w="1858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D64C6F">
              <w:rPr>
                <w:color w:val="000000"/>
                <w:sz w:val="20"/>
                <w:szCs w:val="20"/>
              </w:rPr>
              <w:t>. tromjesečje</w:t>
            </w:r>
          </w:p>
        </w:tc>
        <w:tc>
          <w:tcPr>
            <w:tcW w:w="1525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71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1. tromjesečje</w:t>
            </w:r>
          </w:p>
        </w:tc>
        <w:tc>
          <w:tcPr>
            <w:tcW w:w="1396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1678" w:type="dxa"/>
            <w:tcBorders>
              <w:right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Gradsko vijeće</w:t>
            </w:r>
          </w:p>
        </w:tc>
      </w:tr>
      <w:tr w:rsidR="00D874E0" w:rsidRPr="00D64C6F" w:rsidTr="00D874E0">
        <w:trPr>
          <w:trHeight w:val="709"/>
        </w:trPr>
        <w:tc>
          <w:tcPr>
            <w:tcW w:w="705" w:type="dxa"/>
            <w:tcBorders>
              <w:left w:val="single" w:sz="12" w:space="0" w:color="auto"/>
            </w:tcBorders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3314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Nacrt odluke o privremenoj zabrani izvođenja građevinskih radova n</w:t>
            </w:r>
            <w:r>
              <w:rPr>
                <w:color w:val="000000"/>
                <w:sz w:val="20"/>
                <w:szCs w:val="20"/>
              </w:rPr>
              <w:t>a području Grada Korčule u 2022</w:t>
            </w:r>
            <w:r w:rsidRPr="00D64C6F">
              <w:rPr>
                <w:color w:val="000000"/>
                <w:sz w:val="20"/>
                <w:szCs w:val="20"/>
              </w:rPr>
              <w:t>. godini</w:t>
            </w:r>
          </w:p>
        </w:tc>
        <w:tc>
          <w:tcPr>
            <w:tcW w:w="2154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sz w:val="20"/>
                <w:szCs w:val="20"/>
              </w:rPr>
              <w:t>UO za prostorno uređenje, gradnju, zaštitu okoliša, komunalno gospodarstvo i promet</w:t>
            </w:r>
          </w:p>
        </w:tc>
        <w:tc>
          <w:tcPr>
            <w:tcW w:w="1858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D64C6F">
              <w:rPr>
                <w:color w:val="000000"/>
                <w:sz w:val="20"/>
                <w:szCs w:val="20"/>
              </w:rPr>
              <w:t>. tromjesečje</w:t>
            </w:r>
          </w:p>
        </w:tc>
        <w:tc>
          <w:tcPr>
            <w:tcW w:w="1525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Internetsko savjetovanje</w:t>
            </w:r>
          </w:p>
        </w:tc>
        <w:tc>
          <w:tcPr>
            <w:tcW w:w="1971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3. tromjesečje</w:t>
            </w:r>
          </w:p>
        </w:tc>
        <w:tc>
          <w:tcPr>
            <w:tcW w:w="1396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 w:rsidRPr="00D64C6F">
              <w:rPr>
                <w:color w:val="000000"/>
                <w:sz w:val="20"/>
                <w:szCs w:val="20"/>
              </w:rPr>
              <w:t>30 dana</w:t>
            </w:r>
          </w:p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Gradsko vijeće</w:t>
            </w:r>
          </w:p>
        </w:tc>
      </w:tr>
      <w:tr w:rsidR="00D874E0" w:rsidRPr="00D64C6F" w:rsidTr="00D874E0">
        <w:trPr>
          <w:trHeight w:val="709"/>
        </w:trPr>
        <w:tc>
          <w:tcPr>
            <w:tcW w:w="705" w:type="dxa"/>
            <w:tcBorders>
              <w:left w:val="single" w:sz="12" w:space="0" w:color="auto"/>
            </w:tcBorders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74E0" w:rsidTr="00D874E0">
        <w:trPr>
          <w:trHeight w:val="709"/>
        </w:trPr>
        <w:tc>
          <w:tcPr>
            <w:tcW w:w="705" w:type="dxa"/>
            <w:tcBorders>
              <w:left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74E0" w:rsidTr="00D874E0">
        <w:trPr>
          <w:trHeight w:val="709"/>
        </w:trPr>
        <w:tc>
          <w:tcPr>
            <w:tcW w:w="705" w:type="dxa"/>
            <w:tcBorders>
              <w:left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74E0" w:rsidTr="00D874E0">
        <w:trPr>
          <w:trHeight w:val="709"/>
        </w:trPr>
        <w:tc>
          <w:tcPr>
            <w:tcW w:w="705" w:type="dxa"/>
            <w:tcBorders>
              <w:left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vAlign w:val="center"/>
          </w:tcPr>
          <w:p w:rsidR="00D874E0" w:rsidRPr="00B34B17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74E0" w:rsidTr="00D874E0">
        <w:trPr>
          <w:trHeight w:val="709"/>
        </w:trPr>
        <w:tc>
          <w:tcPr>
            <w:tcW w:w="7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bottom w:val="single" w:sz="12" w:space="0" w:color="auto"/>
            </w:tcBorders>
            <w:vAlign w:val="center"/>
          </w:tcPr>
          <w:p w:rsidR="00D874E0" w:rsidRPr="002A1389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:rsidR="00D874E0" w:rsidRPr="00D64C6F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74E0" w:rsidRDefault="00D874E0" w:rsidP="00D874E0">
            <w:pPr>
              <w:pStyle w:val="t-9-8"/>
              <w:spacing w:before="0" w:beforeAutospacing="0" w:after="12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874E0" w:rsidRDefault="00D874E0"/>
    <w:p w:rsidR="00D874E0" w:rsidRDefault="00D874E0"/>
    <w:p w:rsidR="00D874E0" w:rsidRDefault="00D874E0"/>
    <w:sectPr w:rsidR="00D874E0" w:rsidSect="00D874E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4E0" w:rsidRDefault="00D874E0" w:rsidP="00D874E0">
      <w:pPr>
        <w:spacing w:after="0" w:line="240" w:lineRule="auto"/>
      </w:pPr>
      <w:r>
        <w:separator/>
      </w:r>
    </w:p>
  </w:endnote>
  <w:endnote w:type="continuationSeparator" w:id="0">
    <w:p w:rsidR="00D874E0" w:rsidRDefault="00D874E0" w:rsidP="00D8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4E0" w:rsidRDefault="00D874E0" w:rsidP="00D874E0">
      <w:pPr>
        <w:spacing w:after="0" w:line="240" w:lineRule="auto"/>
      </w:pPr>
      <w:r>
        <w:separator/>
      </w:r>
    </w:p>
  </w:footnote>
  <w:footnote w:type="continuationSeparator" w:id="0">
    <w:p w:rsidR="00D874E0" w:rsidRDefault="00D874E0" w:rsidP="00D87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21"/>
    <w:rsid w:val="00366493"/>
    <w:rsid w:val="004E59BA"/>
    <w:rsid w:val="009F7AA7"/>
    <w:rsid w:val="00A9134C"/>
    <w:rsid w:val="00AD4E37"/>
    <w:rsid w:val="00CC0D21"/>
    <w:rsid w:val="00D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C909"/>
  <w15:chartTrackingRefBased/>
  <w15:docId w15:val="{7E103466-5584-4A44-A4C2-203FF018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D21"/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CC0D21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C0D21"/>
    <w:rPr>
      <w:color w:val="0000FF"/>
      <w:u w:val="single"/>
    </w:rPr>
  </w:style>
  <w:style w:type="table" w:styleId="TableGrid">
    <w:name w:val="Table Grid"/>
    <w:basedOn w:val="TableNormal"/>
    <w:uiPriority w:val="59"/>
    <w:rsid w:val="00D874E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D8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8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4E0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8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4E0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jelovar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Luca Tvrdeć</cp:lastModifiedBy>
  <cp:revision>2</cp:revision>
  <dcterms:created xsi:type="dcterms:W3CDTF">2022-01-19T13:28:00Z</dcterms:created>
  <dcterms:modified xsi:type="dcterms:W3CDTF">2023-01-27T07:23:00Z</dcterms:modified>
</cp:coreProperties>
</file>