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6330" w14:textId="77777777" w:rsidR="007A7E45" w:rsidRPr="00FE4B89" w:rsidRDefault="007A7E45" w:rsidP="00FE4B89"/>
    <w:p w14:paraId="04C4002F" w14:textId="77777777" w:rsidR="00DC6A1F" w:rsidRDefault="009C15A6">
      <w:pPr>
        <w:pStyle w:val="Naslov1"/>
      </w:pPr>
      <w:r>
        <w:t>225 DRŽAVNI INSPEKTORAT</w:t>
      </w:r>
    </w:p>
    <w:p w14:paraId="6E47B315" w14:textId="77777777" w:rsidR="00DC6A1F" w:rsidRDefault="009C15A6">
      <w:r>
        <w:t xml:space="preserve">Državni inspektorat Republike Hrvatske započeo je s radom 01. travnja 2019. godine te obavlja inspekcijske poslove u području: </w:t>
      </w:r>
    </w:p>
    <w:p w14:paraId="4FAE2CAE" w14:textId="77777777" w:rsidR="00DC6A1F" w:rsidRDefault="009C15A6">
      <w:r>
        <w:t xml:space="preserve">- trgovine, usluga, zaštite potrošača, sigurnosti neprehrambenih proizvoda; </w:t>
      </w:r>
    </w:p>
    <w:p w14:paraId="67F4F962" w14:textId="77777777" w:rsidR="00DC6A1F" w:rsidRDefault="009C15A6">
      <w:r>
        <w:t xml:space="preserve">- hrane, uključujući i genetski modificiranu hranu i novu hranu, genetski modificirane organizme, sprečavanja i suzbijanja zaraznih bolesti, proizvodnje i stavljanja na tržište predmeta opće uporabe, stavljanja na tržište i uporabe biocidnih proizvoda, zaštite od buke i zaštite od neionizirajućeg zračenja, ograničavanja uporabe duhanskih i srodnih proizvoda, proizvodnje, stavljanja na tržište i uporabe opasnih kemikalija te gospodarenja otrovnim kemikalijama </w:t>
      </w:r>
    </w:p>
    <w:p w14:paraId="3C100D34" w14:textId="77777777" w:rsidR="00DC6A1F" w:rsidRDefault="009C15A6">
      <w:r>
        <w:t xml:space="preserve">- veterinarstva i sigurnosti hrane, što uključuje zaštitu zdravlja i dobrobiti životinja, reprodukciju, držanje, uzgoj životinja, promet i označivanje životinja, hranu i hranu za životinje, veterinarsko-medicinske proizvode, nusproizvode životinjskog podrijetla i veterinarsku zaštitu okoliša </w:t>
      </w:r>
    </w:p>
    <w:p w14:paraId="4ED74D3F" w14:textId="77777777" w:rsidR="00DC6A1F" w:rsidRDefault="009C15A6">
      <w:r>
        <w:t xml:space="preserve">- poljoprivrede, lovstva, šumarstva, biljnog zdravstva, sredstava za zaštitu bilja, održive uporabe pesticida i ostataka pesticida; </w:t>
      </w:r>
    </w:p>
    <w:p w14:paraId="34BB3D0F" w14:textId="77777777" w:rsidR="00DC6A1F" w:rsidRDefault="009C15A6">
      <w:r>
        <w:t xml:space="preserve">- sjemena i sadnog materijala poljoprivrednog bilja, šumskog reprodukcijskog materijala, sprječavanja unošenja i širenja stranih te invazivnih stranih vrsta i upravljanja njima; </w:t>
      </w:r>
    </w:p>
    <w:p w14:paraId="0E2233C1" w14:textId="77777777" w:rsidR="00DC6A1F" w:rsidRDefault="009C15A6">
      <w:r>
        <w:t xml:space="preserve">- ugostiteljske djelatnosti, pružanja ugostiteljskih usluga, pružanja usluga u turizmu, boravišne odnosno turističke pristojbe; </w:t>
      </w:r>
    </w:p>
    <w:p w14:paraId="51283BA5" w14:textId="77777777" w:rsidR="00DC6A1F" w:rsidRDefault="009C15A6">
      <w:r>
        <w:t xml:space="preserve">- rudarstva, opreme pod tlakom, energetike (elektroenergetike, toplinarstva i plinarstva, energetske učinkovitosti, ugljikovodika i geotermalnih voda za energetske svrhe, skladištenja prirodnog plina i trajnog zbrinjavanja ugljikova dioksida); </w:t>
      </w:r>
    </w:p>
    <w:p w14:paraId="0F84FC31" w14:textId="77777777" w:rsidR="00DC6A1F" w:rsidRDefault="009C15A6">
      <w:r>
        <w:t xml:space="preserve">- rada i zaštite na radu; </w:t>
      </w:r>
    </w:p>
    <w:p w14:paraId="7BCB8FB5" w14:textId="77777777" w:rsidR="00DC6A1F" w:rsidRDefault="009C15A6">
      <w:r>
        <w:t xml:space="preserve">- građenja, provedbe stručnog nadzora građenja, održavanja i uporabe građevina; </w:t>
      </w:r>
    </w:p>
    <w:p w14:paraId="4B54FD87" w14:textId="77777777" w:rsidR="00DC6A1F" w:rsidRDefault="009C15A6">
      <w:r>
        <w:t xml:space="preserve">– zaštite okoliša, održivoga gospodarenja otpadom, zaštite zraka, zaštite od svjetlosnog onečišćenja, zaštite prirode, vodnoga gospodarstva i vode za ljudsku potrošnju. </w:t>
      </w:r>
    </w:p>
    <w:p w14:paraId="168EF7BE" w14:textId="77777777" w:rsidR="00DC6A1F" w:rsidRDefault="009C15A6">
      <w:r>
        <w:t>Državni inspektorat obavlja inspekcijske poslove i u drugim upravnim područjima kada je to određeno posebnim zakonom.</w:t>
      </w:r>
    </w:p>
    <w:tbl>
      <w:tblPr>
        <w:tblStyle w:val="StilTablice"/>
        <w:tblW w:w="10206" w:type="dxa"/>
        <w:jc w:val="center"/>
        <w:tblLook w:val="04A0" w:firstRow="1" w:lastRow="0" w:firstColumn="1" w:lastColumn="0" w:noHBand="0" w:noVBand="1"/>
      </w:tblPr>
      <w:tblGrid>
        <w:gridCol w:w="1465"/>
        <w:gridCol w:w="1555"/>
        <w:gridCol w:w="1554"/>
        <w:gridCol w:w="1554"/>
        <w:gridCol w:w="1554"/>
        <w:gridCol w:w="1554"/>
        <w:gridCol w:w="970"/>
      </w:tblGrid>
      <w:tr w:rsidR="00DC6A1F" w14:paraId="17FF9B24" w14:textId="77777777">
        <w:trPr>
          <w:jc w:val="center"/>
        </w:trPr>
        <w:tc>
          <w:tcPr>
            <w:tcW w:w="1530" w:type="dxa"/>
            <w:shd w:val="clear" w:color="auto" w:fill="B5C0D8"/>
          </w:tcPr>
          <w:p w14:paraId="05C2E362" w14:textId="77777777" w:rsidR="00DC6A1F" w:rsidRDefault="00DC6A1F">
            <w:pPr>
              <w:pStyle w:val="CellHeader"/>
            </w:pPr>
          </w:p>
        </w:tc>
        <w:tc>
          <w:tcPr>
            <w:tcW w:w="1632" w:type="dxa"/>
            <w:shd w:val="clear" w:color="auto" w:fill="B5C0D8"/>
          </w:tcPr>
          <w:p w14:paraId="2099D249" w14:textId="77777777" w:rsidR="00DC6A1F" w:rsidRDefault="009C15A6">
            <w:pPr>
              <w:pStyle w:val="CellHeader"/>
            </w:pPr>
            <w:r>
              <w:rPr>
                <w:rFonts w:cs="Times New Roman"/>
              </w:rPr>
              <w:t>Izvršenje 2024. (eur)</w:t>
            </w:r>
          </w:p>
        </w:tc>
        <w:tc>
          <w:tcPr>
            <w:tcW w:w="1632" w:type="dxa"/>
            <w:shd w:val="clear" w:color="auto" w:fill="B5C0D8"/>
          </w:tcPr>
          <w:p w14:paraId="48251063" w14:textId="77777777" w:rsidR="00DC6A1F" w:rsidRDefault="009C15A6">
            <w:pPr>
              <w:pStyle w:val="CellHeader"/>
            </w:pPr>
            <w:r>
              <w:rPr>
                <w:rFonts w:cs="Times New Roman"/>
              </w:rPr>
              <w:t>Plan 2025. (eur)</w:t>
            </w:r>
          </w:p>
        </w:tc>
        <w:tc>
          <w:tcPr>
            <w:tcW w:w="1632" w:type="dxa"/>
            <w:shd w:val="clear" w:color="auto" w:fill="B5C0D8"/>
          </w:tcPr>
          <w:p w14:paraId="50F285F3" w14:textId="77777777" w:rsidR="00DC6A1F" w:rsidRDefault="009C15A6">
            <w:pPr>
              <w:pStyle w:val="CellHeader"/>
            </w:pPr>
            <w:r>
              <w:rPr>
                <w:rFonts w:cs="Times New Roman"/>
              </w:rPr>
              <w:t>Plan 2026. (eur)</w:t>
            </w:r>
          </w:p>
        </w:tc>
        <w:tc>
          <w:tcPr>
            <w:tcW w:w="1632" w:type="dxa"/>
            <w:shd w:val="clear" w:color="auto" w:fill="B5C0D8"/>
          </w:tcPr>
          <w:p w14:paraId="030988E8" w14:textId="77777777" w:rsidR="00DC6A1F" w:rsidRDefault="009C15A6">
            <w:pPr>
              <w:pStyle w:val="CellHeader"/>
            </w:pPr>
            <w:r>
              <w:rPr>
                <w:rFonts w:cs="Times New Roman"/>
              </w:rPr>
              <w:t>Plan 2027. (eur)</w:t>
            </w:r>
          </w:p>
        </w:tc>
        <w:tc>
          <w:tcPr>
            <w:tcW w:w="1632" w:type="dxa"/>
            <w:shd w:val="clear" w:color="auto" w:fill="B5C0D8"/>
          </w:tcPr>
          <w:p w14:paraId="1FD5E6A7" w14:textId="77777777" w:rsidR="00DC6A1F" w:rsidRDefault="009C15A6">
            <w:pPr>
              <w:pStyle w:val="CellHeader"/>
            </w:pPr>
            <w:r>
              <w:rPr>
                <w:rFonts w:cs="Times New Roman"/>
              </w:rPr>
              <w:t>Plan 2028. (eur)</w:t>
            </w:r>
          </w:p>
        </w:tc>
        <w:tc>
          <w:tcPr>
            <w:tcW w:w="510" w:type="dxa"/>
            <w:shd w:val="clear" w:color="auto" w:fill="B5C0D8"/>
          </w:tcPr>
          <w:p w14:paraId="6BFE5B40" w14:textId="77777777" w:rsidR="00DC6A1F" w:rsidRDefault="009C15A6">
            <w:pPr>
              <w:pStyle w:val="CellHeader"/>
            </w:pPr>
            <w:r>
              <w:rPr>
                <w:rFonts w:cs="Times New Roman"/>
              </w:rPr>
              <w:t>Indeks 2026/2025</w:t>
            </w:r>
          </w:p>
        </w:tc>
      </w:tr>
      <w:tr w:rsidR="00DC6A1F" w14:paraId="45CCC7E8" w14:textId="77777777">
        <w:trPr>
          <w:jc w:val="center"/>
        </w:trPr>
        <w:tc>
          <w:tcPr>
            <w:tcW w:w="1530" w:type="dxa"/>
          </w:tcPr>
          <w:p w14:paraId="43EF7557" w14:textId="77777777" w:rsidR="00DC6A1F" w:rsidRDefault="009C15A6">
            <w:pPr>
              <w:pStyle w:val="CellColumn"/>
            </w:pPr>
            <w:r>
              <w:rPr>
                <w:rFonts w:cs="Times New Roman"/>
              </w:rPr>
              <w:t>22505-Državni inspektorat</w:t>
            </w:r>
          </w:p>
        </w:tc>
        <w:tc>
          <w:tcPr>
            <w:tcW w:w="1632" w:type="dxa"/>
          </w:tcPr>
          <w:p w14:paraId="54756C76" w14:textId="77777777" w:rsidR="00DC6A1F" w:rsidRDefault="009C15A6">
            <w:pPr>
              <w:pStyle w:val="CellColumn"/>
            </w:pPr>
            <w:r>
              <w:rPr>
                <w:rFonts w:cs="Times New Roman"/>
              </w:rPr>
              <w:t>66.455.810</w:t>
            </w:r>
          </w:p>
        </w:tc>
        <w:tc>
          <w:tcPr>
            <w:tcW w:w="1632" w:type="dxa"/>
          </w:tcPr>
          <w:p w14:paraId="37CECD40" w14:textId="77777777" w:rsidR="00DC6A1F" w:rsidRDefault="009C15A6">
            <w:pPr>
              <w:pStyle w:val="CellColumn"/>
            </w:pPr>
            <w:r>
              <w:rPr>
                <w:rFonts w:cs="Times New Roman"/>
              </w:rPr>
              <w:t>77.527.199</w:t>
            </w:r>
          </w:p>
        </w:tc>
        <w:tc>
          <w:tcPr>
            <w:tcW w:w="1632" w:type="dxa"/>
          </w:tcPr>
          <w:p w14:paraId="13A4D6B0" w14:textId="77777777" w:rsidR="00DC6A1F" w:rsidRDefault="009C15A6">
            <w:pPr>
              <w:pStyle w:val="CellColumn"/>
            </w:pPr>
            <w:r>
              <w:rPr>
                <w:rFonts w:cs="Times New Roman"/>
              </w:rPr>
              <w:t>82.937.004</w:t>
            </w:r>
          </w:p>
        </w:tc>
        <w:tc>
          <w:tcPr>
            <w:tcW w:w="1632" w:type="dxa"/>
          </w:tcPr>
          <w:p w14:paraId="35CCC786" w14:textId="77777777" w:rsidR="00DC6A1F" w:rsidRDefault="009C15A6">
            <w:pPr>
              <w:pStyle w:val="CellColumn"/>
            </w:pPr>
            <w:r>
              <w:rPr>
                <w:rFonts w:cs="Times New Roman"/>
              </w:rPr>
              <w:t>88.498.391</w:t>
            </w:r>
          </w:p>
        </w:tc>
        <w:tc>
          <w:tcPr>
            <w:tcW w:w="1632" w:type="dxa"/>
          </w:tcPr>
          <w:p w14:paraId="0C0F3241" w14:textId="77777777" w:rsidR="00DC6A1F" w:rsidRDefault="009C15A6">
            <w:pPr>
              <w:pStyle w:val="CellColumn"/>
            </w:pPr>
            <w:r>
              <w:rPr>
                <w:rFonts w:cs="Times New Roman"/>
              </w:rPr>
              <w:t>88.170.320</w:t>
            </w:r>
          </w:p>
        </w:tc>
        <w:tc>
          <w:tcPr>
            <w:tcW w:w="510" w:type="dxa"/>
          </w:tcPr>
          <w:p w14:paraId="3E07A189" w14:textId="77777777" w:rsidR="00DC6A1F" w:rsidRDefault="009C15A6">
            <w:pPr>
              <w:pStyle w:val="CellColumn"/>
            </w:pPr>
            <w:r>
              <w:rPr>
                <w:rFonts w:cs="Times New Roman"/>
              </w:rPr>
              <w:t>107,0</w:t>
            </w:r>
          </w:p>
        </w:tc>
      </w:tr>
      <w:tr w:rsidR="00DC6A1F" w14:paraId="01AA1DC2" w14:textId="77777777">
        <w:trPr>
          <w:jc w:val="center"/>
        </w:trPr>
        <w:tc>
          <w:tcPr>
            <w:tcW w:w="1530" w:type="dxa"/>
            <w:shd w:val="clear" w:color="auto" w:fill="B5C0D8"/>
          </w:tcPr>
          <w:p w14:paraId="5C1DDF87" w14:textId="77777777" w:rsidR="00DC6A1F" w:rsidRDefault="009C15A6">
            <w:pPr>
              <w:pStyle w:val="CellColumn"/>
            </w:pPr>
            <w:r>
              <w:rPr>
                <w:rFonts w:cs="Times New Roman"/>
              </w:rPr>
              <w:t>Ukupno 225</w:t>
            </w:r>
          </w:p>
        </w:tc>
        <w:tc>
          <w:tcPr>
            <w:tcW w:w="1632" w:type="dxa"/>
            <w:shd w:val="clear" w:color="auto" w:fill="B5C0D8"/>
          </w:tcPr>
          <w:p w14:paraId="01152C7E" w14:textId="77777777" w:rsidR="00DC6A1F" w:rsidRDefault="009C15A6">
            <w:pPr>
              <w:pStyle w:val="CellColumn"/>
            </w:pPr>
            <w:r>
              <w:rPr>
                <w:rFonts w:cs="Times New Roman"/>
              </w:rPr>
              <w:t>66.455.810</w:t>
            </w:r>
          </w:p>
        </w:tc>
        <w:tc>
          <w:tcPr>
            <w:tcW w:w="1632" w:type="dxa"/>
            <w:shd w:val="clear" w:color="auto" w:fill="B5C0D8"/>
          </w:tcPr>
          <w:p w14:paraId="24588736" w14:textId="77777777" w:rsidR="00DC6A1F" w:rsidRDefault="009C15A6">
            <w:pPr>
              <w:pStyle w:val="CellColumn"/>
            </w:pPr>
            <w:r>
              <w:rPr>
                <w:rFonts w:cs="Times New Roman"/>
              </w:rPr>
              <w:t>77.527.199</w:t>
            </w:r>
          </w:p>
        </w:tc>
        <w:tc>
          <w:tcPr>
            <w:tcW w:w="1632" w:type="dxa"/>
            <w:shd w:val="clear" w:color="auto" w:fill="B5C0D8"/>
          </w:tcPr>
          <w:p w14:paraId="7347E740" w14:textId="77777777" w:rsidR="00DC6A1F" w:rsidRDefault="009C15A6">
            <w:pPr>
              <w:pStyle w:val="CellColumn"/>
            </w:pPr>
            <w:r>
              <w:rPr>
                <w:rFonts w:cs="Times New Roman"/>
              </w:rPr>
              <w:t>82.937.004</w:t>
            </w:r>
          </w:p>
        </w:tc>
        <w:tc>
          <w:tcPr>
            <w:tcW w:w="1632" w:type="dxa"/>
            <w:shd w:val="clear" w:color="auto" w:fill="B5C0D8"/>
          </w:tcPr>
          <w:p w14:paraId="287F7647" w14:textId="77777777" w:rsidR="00DC6A1F" w:rsidRDefault="009C15A6">
            <w:pPr>
              <w:pStyle w:val="CellColumn"/>
            </w:pPr>
            <w:r>
              <w:rPr>
                <w:rFonts w:cs="Times New Roman"/>
              </w:rPr>
              <w:t>88.498.391</w:t>
            </w:r>
          </w:p>
        </w:tc>
        <w:tc>
          <w:tcPr>
            <w:tcW w:w="1632" w:type="dxa"/>
            <w:shd w:val="clear" w:color="auto" w:fill="B5C0D8"/>
          </w:tcPr>
          <w:p w14:paraId="3CE952F1" w14:textId="77777777" w:rsidR="00DC6A1F" w:rsidRDefault="009C15A6">
            <w:pPr>
              <w:pStyle w:val="CellColumn"/>
            </w:pPr>
            <w:r>
              <w:rPr>
                <w:rFonts w:cs="Times New Roman"/>
              </w:rPr>
              <w:t>88.170.320</w:t>
            </w:r>
          </w:p>
        </w:tc>
        <w:tc>
          <w:tcPr>
            <w:tcW w:w="510" w:type="dxa"/>
            <w:shd w:val="clear" w:color="auto" w:fill="B5C0D8"/>
          </w:tcPr>
          <w:p w14:paraId="5E1FB686" w14:textId="77777777" w:rsidR="00DC6A1F" w:rsidRDefault="009C15A6">
            <w:pPr>
              <w:pStyle w:val="CellColumn"/>
            </w:pPr>
            <w:r>
              <w:rPr>
                <w:rFonts w:cs="Times New Roman"/>
              </w:rPr>
              <w:t>107,0</w:t>
            </w:r>
          </w:p>
        </w:tc>
      </w:tr>
    </w:tbl>
    <w:p w14:paraId="76443E3E" w14:textId="77777777" w:rsidR="00DC6A1F" w:rsidRDefault="00DC6A1F">
      <w:pPr>
        <w:jc w:val="left"/>
      </w:pPr>
    </w:p>
    <w:p w14:paraId="3314B528" w14:textId="77777777" w:rsidR="00DC6A1F" w:rsidRDefault="009C15A6">
      <w:pPr>
        <w:pStyle w:val="Naslov2"/>
      </w:pPr>
      <w:r>
        <w:t>22505 Državni inspektorat</w:t>
      </w:r>
    </w:p>
    <w:tbl>
      <w:tblPr>
        <w:tblStyle w:val="StilTablice"/>
        <w:tblW w:w="10206" w:type="dxa"/>
        <w:jc w:val="center"/>
        <w:tblLook w:val="04A0" w:firstRow="1" w:lastRow="0" w:firstColumn="1" w:lastColumn="0" w:noHBand="0" w:noVBand="1"/>
      </w:tblPr>
      <w:tblGrid>
        <w:gridCol w:w="1465"/>
        <w:gridCol w:w="1555"/>
        <w:gridCol w:w="1554"/>
        <w:gridCol w:w="1554"/>
        <w:gridCol w:w="1554"/>
        <w:gridCol w:w="1554"/>
        <w:gridCol w:w="970"/>
      </w:tblGrid>
      <w:tr w:rsidR="00DC6A1F" w14:paraId="21DC56E2" w14:textId="77777777">
        <w:trPr>
          <w:jc w:val="center"/>
        </w:trPr>
        <w:tc>
          <w:tcPr>
            <w:tcW w:w="1530" w:type="dxa"/>
            <w:shd w:val="clear" w:color="auto" w:fill="B5C0D8"/>
          </w:tcPr>
          <w:p w14:paraId="3C767C73" w14:textId="77777777" w:rsidR="00DC6A1F" w:rsidRDefault="00DC6A1F">
            <w:pPr>
              <w:pStyle w:val="CellHeader"/>
            </w:pPr>
          </w:p>
        </w:tc>
        <w:tc>
          <w:tcPr>
            <w:tcW w:w="1632" w:type="dxa"/>
            <w:shd w:val="clear" w:color="auto" w:fill="B5C0D8"/>
          </w:tcPr>
          <w:p w14:paraId="2891151B" w14:textId="77777777" w:rsidR="00DC6A1F" w:rsidRDefault="009C15A6">
            <w:pPr>
              <w:pStyle w:val="CellHeader"/>
            </w:pPr>
            <w:r>
              <w:rPr>
                <w:rFonts w:cs="Times New Roman"/>
              </w:rPr>
              <w:t>Izvršenje 2024. (eur)</w:t>
            </w:r>
          </w:p>
        </w:tc>
        <w:tc>
          <w:tcPr>
            <w:tcW w:w="1632" w:type="dxa"/>
            <w:shd w:val="clear" w:color="auto" w:fill="B5C0D8"/>
          </w:tcPr>
          <w:p w14:paraId="60E371AA" w14:textId="77777777" w:rsidR="00DC6A1F" w:rsidRDefault="009C15A6">
            <w:pPr>
              <w:pStyle w:val="CellHeader"/>
            </w:pPr>
            <w:r>
              <w:rPr>
                <w:rFonts w:cs="Times New Roman"/>
              </w:rPr>
              <w:t>Plan 2025. (eur)</w:t>
            </w:r>
          </w:p>
        </w:tc>
        <w:tc>
          <w:tcPr>
            <w:tcW w:w="1632" w:type="dxa"/>
            <w:shd w:val="clear" w:color="auto" w:fill="B5C0D8"/>
          </w:tcPr>
          <w:p w14:paraId="108C8431" w14:textId="77777777" w:rsidR="00DC6A1F" w:rsidRDefault="009C15A6">
            <w:pPr>
              <w:pStyle w:val="CellHeader"/>
            </w:pPr>
            <w:r>
              <w:rPr>
                <w:rFonts w:cs="Times New Roman"/>
              </w:rPr>
              <w:t>Plan 2026. (eur)</w:t>
            </w:r>
          </w:p>
        </w:tc>
        <w:tc>
          <w:tcPr>
            <w:tcW w:w="1632" w:type="dxa"/>
            <w:shd w:val="clear" w:color="auto" w:fill="B5C0D8"/>
          </w:tcPr>
          <w:p w14:paraId="79B801D2" w14:textId="77777777" w:rsidR="00DC6A1F" w:rsidRDefault="009C15A6">
            <w:pPr>
              <w:pStyle w:val="CellHeader"/>
            </w:pPr>
            <w:r>
              <w:rPr>
                <w:rFonts w:cs="Times New Roman"/>
              </w:rPr>
              <w:t>Plan 2027. (eur)</w:t>
            </w:r>
          </w:p>
        </w:tc>
        <w:tc>
          <w:tcPr>
            <w:tcW w:w="1632" w:type="dxa"/>
            <w:shd w:val="clear" w:color="auto" w:fill="B5C0D8"/>
          </w:tcPr>
          <w:p w14:paraId="232AD412" w14:textId="77777777" w:rsidR="00DC6A1F" w:rsidRDefault="009C15A6">
            <w:pPr>
              <w:pStyle w:val="CellHeader"/>
            </w:pPr>
            <w:r>
              <w:rPr>
                <w:rFonts w:cs="Times New Roman"/>
              </w:rPr>
              <w:t>Plan 2028. (eur)</w:t>
            </w:r>
          </w:p>
        </w:tc>
        <w:tc>
          <w:tcPr>
            <w:tcW w:w="510" w:type="dxa"/>
            <w:shd w:val="clear" w:color="auto" w:fill="B5C0D8"/>
          </w:tcPr>
          <w:p w14:paraId="3D1676E7" w14:textId="77777777" w:rsidR="00DC6A1F" w:rsidRDefault="009C15A6">
            <w:pPr>
              <w:pStyle w:val="CellHeader"/>
            </w:pPr>
            <w:r>
              <w:rPr>
                <w:rFonts w:cs="Times New Roman"/>
              </w:rPr>
              <w:t>Indeks 2026/2025</w:t>
            </w:r>
          </w:p>
        </w:tc>
      </w:tr>
      <w:tr w:rsidR="00DC6A1F" w14:paraId="5DDBDA66" w14:textId="77777777">
        <w:trPr>
          <w:jc w:val="center"/>
        </w:trPr>
        <w:tc>
          <w:tcPr>
            <w:tcW w:w="1530" w:type="dxa"/>
          </w:tcPr>
          <w:p w14:paraId="1CFDE336" w14:textId="77777777" w:rsidR="00DC6A1F" w:rsidRDefault="009C15A6">
            <w:pPr>
              <w:pStyle w:val="CellColumn"/>
            </w:pPr>
            <w:r>
              <w:rPr>
                <w:rFonts w:cs="Times New Roman"/>
              </w:rPr>
              <w:t>22505-Državni inspektorat</w:t>
            </w:r>
          </w:p>
        </w:tc>
        <w:tc>
          <w:tcPr>
            <w:tcW w:w="1632" w:type="dxa"/>
          </w:tcPr>
          <w:p w14:paraId="5302508E" w14:textId="77777777" w:rsidR="00DC6A1F" w:rsidRDefault="009C15A6">
            <w:pPr>
              <w:pStyle w:val="CellColumn"/>
            </w:pPr>
            <w:r>
              <w:rPr>
                <w:rFonts w:cs="Times New Roman"/>
              </w:rPr>
              <w:t>66.455.810</w:t>
            </w:r>
          </w:p>
        </w:tc>
        <w:tc>
          <w:tcPr>
            <w:tcW w:w="1632" w:type="dxa"/>
          </w:tcPr>
          <w:p w14:paraId="1AD92B6F" w14:textId="77777777" w:rsidR="00DC6A1F" w:rsidRDefault="009C15A6">
            <w:pPr>
              <w:pStyle w:val="CellColumn"/>
            </w:pPr>
            <w:r>
              <w:rPr>
                <w:rFonts w:cs="Times New Roman"/>
              </w:rPr>
              <w:t>77.527.199</w:t>
            </w:r>
          </w:p>
        </w:tc>
        <w:tc>
          <w:tcPr>
            <w:tcW w:w="1632" w:type="dxa"/>
          </w:tcPr>
          <w:p w14:paraId="1863FE9E" w14:textId="77777777" w:rsidR="00DC6A1F" w:rsidRDefault="009C15A6">
            <w:pPr>
              <w:pStyle w:val="CellColumn"/>
            </w:pPr>
            <w:r>
              <w:rPr>
                <w:rFonts w:cs="Times New Roman"/>
              </w:rPr>
              <w:t>82.937.004</w:t>
            </w:r>
          </w:p>
        </w:tc>
        <w:tc>
          <w:tcPr>
            <w:tcW w:w="1632" w:type="dxa"/>
          </w:tcPr>
          <w:p w14:paraId="4F2BBD34" w14:textId="77777777" w:rsidR="00DC6A1F" w:rsidRDefault="009C15A6">
            <w:pPr>
              <w:pStyle w:val="CellColumn"/>
            </w:pPr>
            <w:r>
              <w:rPr>
                <w:rFonts w:cs="Times New Roman"/>
              </w:rPr>
              <w:t>88.498.391</w:t>
            </w:r>
          </w:p>
        </w:tc>
        <w:tc>
          <w:tcPr>
            <w:tcW w:w="1632" w:type="dxa"/>
          </w:tcPr>
          <w:p w14:paraId="5C064A82" w14:textId="77777777" w:rsidR="00DC6A1F" w:rsidRDefault="009C15A6">
            <w:pPr>
              <w:pStyle w:val="CellColumn"/>
            </w:pPr>
            <w:r>
              <w:rPr>
                <w:rFonts w:cs="Times New Roman"/>
              </w:rPr>
              <w:t>88.170.320</w:t>
            </w:r>
          </w:p>
        </w:tc>
        <w:tc>
          <w:tcPr>
            <w:tcW w:w="510" w:type="dxa"/>
          </w:tcPr>
          <w:p w14:paraId="7865362A" w14:textId="77777777" w:rsidR="00DC6A1F" w:rsidRDefault="009C15A6">
            <w:pPr>
              <w:pStyle w:val="CellColumn"/>
            </w:pPr>
            <w:r>
              <w:rPr>
                <w:rFonts w:cs="Times New Roman"/>
              </w:rPr>
              <w:t>107,0</w:t>
            </w:r>
          </w:p>
        </w:tc>
      </w:tr>
    </w:tbl>
    <w:p w14:paraId="56565FAF" w14:textId="77777777" w:rsidR="00DC6A1F" w:rsidRDefault="00DC6A1F">
      <w:pPr>
        <w:jc w:val="left"/>
      </w:pPr>
    </w:p>
    <w:p w14:paraId="4AA1943D" w14:textId="77777777" w:rsidR="00DC6A1F" w:rsidRDefault="009C15A6">
      <w:pPr>
        <w:pStyle w:val="Naslov3"/>
      </w:pPr>
      <w:r>
        <w:rPr>
          <w:rFonts w:cs="Times New Roman"/>
        </w:rPr>
        <w:t>3213 INSPEKCIJSKI NADZOR</w:t>
      </w:r>
    </w:p>
    <w:tbl>
      <w:tblPr>
        <w:tblStyle w:val="StilTablice"/>
        <w:tblW w:w="10206" w:type="dxa"/>
        <w:jc w:val="center"/>
        <w:tblLook w:val="04A0" w:firstRow="1" w:lastRow="0" w:firstColumn="1" w:lastColumn="0" w:noHBand="0" w:noVBand="1"/>
      </w:tblPr>
      <w:tblGrid>
        <w:gridCol w:w="1515"/>
        <w:gridCol w:w="1545"/>
        <w:gridCol w:w="1544"/>
        <w:gridCol w:w="1544"/>
        <w:gridCol w:w="1544"/>
        <w:gridCol w:w="1544"/>
        <w:gridCol w:w="970"/>
      </w:tblGrid>
      <w:tr w:rsidR="00DC6A1F" w14:paraId="12E7C508" w14:textId="77777777">
        <w:trPr>
          <w:jc w:val="center"/>
        </w:trPr>
        <w:tc>
          <w:tcPr>
            <w:tcW w:w="1530" w:type="dxa"/>
            <w:shd w:val="clear" w:color="auto" w:fill="B5C0D8"/>
          </w:tcPr>
          <w:p w14:paraId="33C0D5EE" w14:textId="77777777" w:rsidR="00DC6A1F" w:rsidRDefault="00DC6A1F">
            <w:pPr>
              <w:pStyle w:val="CellHeader"/>
            </w:pPr>
          </w:p>
        </w:tc>
        <w:tc>
          <w:tcPr>
            <w:tcW w:w="1632" w:type="dxa"/>
            <w:shd w:val="clear" w:color="auto" w:fill="B5C0D8"/>
          </w:tcPr>
          <w:p w14:paraId="07DBE946" w14:textId="77777777" w:rsidR="00DC6A1F" w:rsidRDefault="009C15A6">
            <w:pPr>
              <w:pStyle w:val="CellHeader"/>
            </w:pPr>
            <w:r>
              <w:rPr>
                <w:rFonts w:cs="Times New Roman"/>
              </w:rPr>
              <w:t>Izvršenje 2024. (eur)</w:t>
            </w:r>
          </w:p>
        </w:tc>
        <w:tc>
          <w:tcPr>
            <w:tcW w:w="1632" w:type="dxa"/>
            <w:shd w:val="clear" w:color="auto" w:fill="B5C0D8"/>
          </w:tcPr>
          <w:p w14:paraId="1A90E5CB" w14:textId="77777777" w:rsidR="00DC6A1F" w:rsidRDefault="009C15A6">
            <w:pPr>
              <w:pStyle w:val="CellHeader"/>
            </w:pPr>
            <w:r>
              <w:rPr>
                <w:rFonts w:cs="Times New Roman"/>
              </w:rPr>
              <w:t>Plan 2025. (eur)</w:t>
            </w:r>
          </w:p>
        </w:tc>
        <w:tc>
          <w:tcPr>
            <w:tcW w:w="1632" w:type="dxa"/>
            <w:shd w:val="clear" w:color="auto" w:fill="B5C0D8"/>
          </w:tcPr>
          <w:p w14:paraId="43CC5B89" w14:textId="77777777" w:rsidR="00DC6A1F" w:rsidRDefault="009C15A6">
            <w:pPr>
              <w:pStyle w:val="CellHeader"/>
            </w:pPr>
            <w:r>
              <w:rPr>
                <w:rFonts w:cs="Times New Roman"/>
              </w:rPr>
              <w:t>Plan 2026. (eur)</w:t>
            </w:r>
          </w:p>
        </w:tc>
        <w:tc>
          <w:tcPr>
            <w:tcW w:w="1632" w:type="dxa"/>
            <w:shd w:val="clear" w:color="auto" w:fill="B5C0D8"/>
          </w:tcPr>
          <w:p w14:paraId="11E078DB" w14:textId="77777777" w:rsidR="00DC6A1F" w:rsidRDefault="009C15A6">
            <w:pPr>
              <w:pStyle w:val="CellHeader"/>
            </w:pPr>
            <w:r>
              <w:rPr>
                <w:rFonts w:cs="Times New Roman"/>
              </w:rPr>
              <w:t>Plan 2027. (eur)</w:t>
            </w:r>
          </w:p>
        </w:tc>
        <w:tc>
          <w:tcPr>
            <w:tcW w:w="1632" w:type="dxa"/>
            <w:shd w:val="clear" w:color="auto" w:fill="B5C0D8"/>
          </w:tcPr>
          <w:p w14:paraId="6B89141E" w14:textId="77777777" w:rsidR="00DC6A1F" w:rsidRDefault="009C15A6">
            <w:pPr>
              <w:pStyle w:val="CellHeader"/>
            </w:pPr>
            <w:r>
              <w:rPr>
                <w:rFonts w:cs="Times New Roman"/>
              </w:rPr>
              <w:t>Plan 2028. (eur)</w:t>
            </w:r>
          </w:p>
        </w:tc>
        <w:tc>
          <w:tcPr>
            <w:tcW w:w="510" w:type="dxa"/>
            <w:shd w:val="clear" w:color="auto" w:fill="B5C0D8"/>
          </w:tcPr>
          <w:p w14:paraId="04D5A356" w14:textId="77777777" w:rsidR="00DC6A1F" w:rsidRDefault="009C15A6">
            <w:pPr>
              <w:pStyle w:val="CellHeader"/>
            </w:pPr>
            <w:r>
              <w:rPr>
                <w:rFonts w:cs="Times New Roman"/>
              </w:rPr>
              <w:t>Indeks 2026/2025</w:t>
            </w:r>
          </w:p>
        </w:tc>
      </w:tr>
      <w:tr w:rsidR="00DC6A1F" w14:paraId="2D9294CD" w14:textId="77777777">
        <w:trPr>
          <w:jc w:val="center"/>
        </w:trPr>
        <w:tc>
          <w:tcPr>
            <w:tcW w:w="1530" w:type="dxa"/>
          </w:tcPr>
          <w:p w14:paraId="607E6C84" w14:textId="77777777" w:rsidR="00DC6A1F" w:rsidRDefault="009C15A6">
            <w:pPr>
              <w:pStyle w:val="CellColumn"/>
            </w:pPr>
            <w:r>
              <w:rPr>
                <w:rFonts w:cs="Times New Roman"/>
              </w:rPr>
              <w:lastRenderedPageBreak/>
              <w:t>3213-INSPEKCIJSKI NADZOR</w:t>
            </w:r>
          </w:p>
        </w:tc>
        <w:tc>
          <w:tcPr>
            <w:tcW w:w="1632" w:type="dxa"/>
          </w:tcPr>
          <w:p w14:paraId="6D15EF06" w14:textId="77777777" w:rsidR="00DC6A1F" w:rsidRDefault="009C15A6">
            <w:pPr>
              <w:pStyle w:val="CellColumn"/>
            </w:pPr>
            <w:r>
              <w:rPr>
                <w:rFonts w:cs="Times New Roman"/>
              </w:rPr>
              <w:t>66.455.810</w:t>
            </w:r>
          </w:p>
        </w:tc>
        <w:tc>
          <w:tcPr>
            <w:tcW w:w="1632" w:type="dxa"/>
          </w:tcPr>
          <w:p w14:paraId="7D7FA8AB" w14:textId="77777777" w:rsidR="00DC6A1F" w:rsidRDefault="009C15A6">
            <w:pPr>
              <w:pStyle w:val="CellColumn"/>
            </w:pPr>
            <w:r>
              <w:rPr>
                <w:rFonts w:cs="Times New Roman"/>
              </w:rPr>
              <w:t>77.527.199</w:t>
            </w:r>
          </w:p>
        </w:tc>
        <w:tc>
          <w:tcPr>
            <w:tcW w:w="1632" w:type="dxa"/>
          </w:tcPr>
          <w:p w14:paraId="2576B31D" w14:textId="77777777" w:rsidR="00DC6A1F" w:rsidRDefault="009C15A6">
            <w:pPr>
              <w:pStyle w:val="CellColumn"/>
            </w:pPr>
            <w:r>
              <w:rPr>
                <w:rFonts w:cs="Times New Roman"/>
              </w:rPr>
              <w:t>82.937.004</w:t>
            </w:r>
          </w:p>
        </w:tc>
        <w:tc>
          <w:tcPr>
            <w:tcW w:w="1632" w:type="dxa"/>
          </w:tcPr>
          <w:p w14:paraId="55C23746" w14:textId="77777777" w:rsidR="00DC6A1F" w:rsidRDefault="009C15A6">
            <w:pPr>
              <w:pStyle w:val="CellColumn"/>
            </w:pPr>
            <w:r>
              <w:rPr>
                <w:rFonts w:cs="Times New Roman"/>
              </w:rPr>
              <w:t>88.498.391</w:t>
            </w:r>
          </w:p>
        </w:tc>
        <w:tc>
          <w:tcPr>
            <w:tcW w:w="1632" w:type="dxa"/>
          </w:tcPr>
          <w:p w14:paraId="16CF6D2C" w14:textId="77777777" w:rsidR="00DC6A1F" w:rsidRDefault="009C15A6">
            <w:pPr>
              <w:pStyle w:val="CellColumn"/>
            </w:pPr>
            <w:r>
              <w:rPr>
                <w:rFonts w:cs="Times New Roman"/>
              </w:rPr>
              <w:t>88.170.320</w:t>
            </w:r>
          </w:p>
        </w:tc>
        <w:tc>
          <w:tcPr>
            <w:tcW w:w="510" w:type="dxa"/>
          </w:tcPr>
          <w:p w14:paraId="2E9BE450" w14:textId="77777777" w:rsidR="00DC6A1F" w:rsidRDefault="009C15A6">
            <w:pPr>
              <w:pStyle w:val="CellColumn"/>
            </w:pPr>
            <w:r>
              <w:rPr>
                <w:rFonts w:cs="Times New Roman"/>
              </w:rPr>
              <w:t>107,0</w:t>
            </w:r>
          </w:p>
        </w:tc>
      </w:tr>
    </w:tbl>
    <w:p w14:paraId="6B6337BD" w14:textId="77777777" w:rsidR="00DC6A1F" w:rsidRDefault="00DC6A1F">
      <w:pPr>
        <w:jc w:val="left"/>
      </w:pPr>
    </w:p>
    <w:p w14:paraId="585E4180" w14:textId="77777777" w:rsidR="00DC6A1F" w:rsidRDefault="009C15A6">
      <w:pPr>
        <w:pStyle w:val="Naslov4"/>
      </w:pPr>
      <w:r>
        <w:t>A673013 PROJEKT PROSAFE</w:t>
      </w:r>
    </w:p>
    <w:p w14:paraId="33039E72" w14:textId="77777777" w:rsidR="00DC6A1F" w:rsidRDefault="009C15A6">
      <w:pPr>
        <w:pStyle w:val="Naslov8"/>
        <w:jc w:val="left"/>
      </w:pPr>
      <w:r>
        <w:t>Zakonske i druge pravne osnove</w:t>
      </w:r>
    </w:p>
    <w:p w14:paraId="2CE2582D" w14:textId="77777777" w:rsidR="00DC6A1F" w:rsidRDefault="009C15A6">
      <w:pPr>
        <w:pStyle w:val="Normal5"/>
      </w:pPr>
      <w:r>
        <w:t xml:space="preserve">- Zakon o tehničkim zahtjevima za proizvode i ocjenjivanju sukladnosti    </w:t>
      </w:r>
    </w:p>
    <w:p w14:paraId="025D8B3F" w14:textId="77777777" w:rsidR="00DC6A1F" w:rsidRDefault="009C15A6">
      <w:pPr>
        <w:pStyle w:val="Normal5"/>
      </w:pPr>
      <w:r>
        <w:t xml:space="preserve">- Uredba (EU)  2019/1020 o nadzoru tržišta i sukladnosti proizvoda   </w:t>
      </w:r>
    </w:p>
    <w:p w14:paraId="59B39BA5" w14:textId="77777777" w:rsidR="00DC6A1F" w:rsidRDefault="009C15A6">
      <w:pPr>
        <w:pStyle w:val="Normal5"/>
      </w:pPr>
      <w:r>
        <w:t xml:space="preserve">- Zakon o energetskoj učinkovitosti    </w:t>
      </w:r>
    </w:p>
    <w:p w14:paraId="5A66E5C7" w14:textId="77777777" w:rsidR="00DC6A1F" w:rsidRDefault="009C15A6">
      <w:pPr>
        <w:pStyle w:val="Normal5"/>
      </w:pPr>
      <w:r>
        <w:t xml:space="preserve">- Uredba 2017/1369 o utvrđivanju okvira za označivanje energetske učinkovitosti i o stavljanju izvan snage Direktive 2010/30/EU   </w:t>
      </w:r>
    </w:p>
    <w:p w14:paraId="3889F629" w14:textId="77777777" w:rsidR="00DC6A1F" w:rsidRDefault="009C15A6">
      <w:pPr>
        <w:pStyle w:val="Normal5"/>
      </w:pPr>
      <w:r>
        <w:t xml:space="preserve">- Direktiva 2006/42/EZ o strojevima   </w:t>
      </w:r>
    </w:p>
    <w:p w14:paraId="1FB547D5" w14:textId="77777777" w:rsidR="00DC6A1F" w:rsidRDefault="009C15A6">
      <w:pPr>
        <w:pStyle w:val="Normal5"/>
      </w:pPr>
      <w:r>
        <w:t>- Accesion form (JAHARP2022-I-Energy labelling-SMP-IMA-2021-2-JA-2731-12302; JAHARP2022-E-charging and Chainsaws-SMP-IMA-2021-2-JA-2731-12302)</w:t>
      </w:r>
    </w:p>
    <w:tbl>
      <w:tblPr>
        <w:tblStyle w:val="StilTablice"/>
        <w:tblW w:w="10206" w:type="dxa"/>
        <w:jc w:val="center"/>
        <w:tblLook w:val="04A0" w:firstRow="1" w:lastRow="0" w:firstColumn="1" w:lastColumn="0" w:noHBand="0" w:noVBand="1"/>
      </w:tblPr>
      <w:tblGrid>
        <w:gridCol w:w="1485"/>
        <w:gridCol w:w="1567"/>
        <w:gridCol w:w="1544"/>
        <w:gridCol w:w="1552"/>
        <w:gridCol w:w="1544"/>
        <w:gridCol w:w="1544"/>
        <w:gridCol w:w="970"/>
      </w:tblGrid>
      <w:tr w:rsidR="00DC6A1F" w14:paraId="59764523" w14:textId="77777777">
        <w:trPr>
          <w:jc w:val="center"/>
        </w:trPr>
        <w:tc>
          <w:tcPr>
            <w:tcW w:w="1530" w:type="dxa"/>
            <w:shd w:val="clear" w:color="auto" w:fill="B5C0D8"/>
          </w:tcPr>
          <w:p w14:paraId="08916E0E" w14:textId="77777777" w:rsidR="00DC6A1F" w:rsidRDefault="009C15A6">
            <w:pPr>
              <w:pStyle w:val="CellHeader"/>
            </w:pPr>
            <w:r>
              <w:rPr>
                <w:rFonts w:cs="Times New Roman"/>
              </w:rPr>
              <w:t>Naziv aktivnosti</w:t>
            </w:r>
          </w:p>
        </w:tc>
        <w:tc>
          <w:tcPr>
            <w:tcW w:w="1632" w:type="dxa"/>
            <w:shd w:val="clear" w:color="auto" w:fill="B5C0D8"/>
          </w:tcPr>
          <w:p w14:paraId="4E37C0FD" w14:textId="77777777" w:rsidR="00DC6A1F" w:rsidRDefault="009C15A6">
            <w:pPr>
              <w:pStyle w:val="CellHeader"/>
            </w:pPr>
            <w:r>
              <w:rPr>
                <w:rFonts w:cs="Times New Roman"/>
              </w:rPr>
              <w:t>Izvršenje 2024. (eur)</w:t>
            </w:r>
          </w:p>
        </w:tc>
        <w:tc>
          <w:tcPr>
            <w:tcW w:w="1632" w:type="dxa"/>
            <w:shd w:val="clear" w:color="auto" w:fill="B5C0D8"/>
          </w:tcPr>
          <w:p w14:paraId="4BF382B3" w14:textId="77777777" w:rsidR="00DC6A1F" w:rsidRDefault="009C15A6">
            <w:pPr>
              <w:pStyle w:val="CellHeader"/>
            </w:pPr>
            <w:r>
              <w:rPr>
                <w:rFonts w:cs="Times New Roman"/>
              </w:rPr>
              <w:t>Plan 2025. (eur)</w:t>
            </w:r>
          </w:p>
        </w:tc>
        <w:tc>
          <w:tcPr>
            <w:tcW w:w="1632" w:type="dxa"/>
            <w:shd w:val="clear" w:color="auto" w:fill="B5C0D8"/>
          </w:tcPr>
          <w:p w14:paraId="57E9F03B" w14:textId="77777777" w:rsidR="00DC6A1F" w:rsidRDefault="009C15A6">
            <w:pPr>
              <w:pStyle w:val="CellHeader"/>
            </w:pPr>
            <w:r>
              <w:rPr>
                <w:rFonts w:cs="Times New Roman"/>
              </w:rPr>
              <w:t>Plan 2026. (eur)</w:t>
            </w:r>
          </w:p>
        </w:tc>
        <w:tc>
          <w:tcPr>
            <w:tcW w:w="1632" w:type="dxa"/>
            <w:shd w:val="clear" w:color="auto" w:fill="B5C0D8"/>
          </w:tcPr>
          <w:p w14:paraId="44B1F428" w14:textId="77777777" w:rsidR="00DC6A1F" w:rsidRDefault="009C15A6">
            <w:pPr>
              <w:pStyle w:val="CellHeader"/>
            </w:pPr>
            <w:r>
              <w:rPr>
                <w:rFonts w:cs="Times New Roman"/>
              </w:rPr>
              <w:t>Plan 2027. (eur)</w:t>
            </w:r>
          </w:p>
        </w:tc>
        <w:tc>
          <w:tcPr>
            <w:tcW w:w="1632" w:type="dxa"/>
            <w:shd w:val="clear" w:color="auto" w:fill="B5C0D8"/>
          </w:tcPr>
          <w:p w14:paraId="79F06B82" w14:textId="77777777" w:rsidR="00DC6A1F" w:rsidRDefault="009C15A6">
            <w:pPr>
              <w:pStyle w:val="CellHeader"/>
            </w:pPr>
            <w:r>
              <w:rPr>
                <w:rFonts w:cs="Times New Roman"/>
              </w:rPr>
              <w:t>Plan 2028. (eur)</w:t>
            </w:r>
          </w:p>
        </w:tc>
        <w:tc>
          <w:tcPr>
            <w:tcW w:w="510" w:type="dxa"/>
            <w:shd w:val="clear" w:color="auto" w:fill="B5C0D8"/>
          </w:tcPr>
          <w:p w14:paraId="17595749" w14:textId="77777777" w:rsidR="00DC6A1F" w:rsidRDefault="009C15A6">
            <w:pPr>
              <w:pStyle w:val="CellHeader"/>
            </w:pPr>
            <w:r>
              <w:rPr>
                <w:rFonts w:cs="Times New Roman"/>
              </w:rPr>
              <w:t>Indeks 2026/2025</w:t>
            </w:r>
          </w:p>
        </w:tc>
      </w:tr>
      <w:tr w:rsidR="00DC6A1F" w14:paraId="0BF82639" w14:textId="77777777">
        <w:trPr>
          <w:jc w:val="center"/>
        </w:trPr>
        <w:tc>
          <w:tcPr>
            <w:tcW w:w="1530" w:type="dxa"/>
          </w:tcPr>
          <w:p w14:paraId="294743B5" w14:textId="77777777" w:rsidR="00DC6A1F" w:rsidRDefault="009C15A6">
            <w:pPr>
              <w:pStyle w:val="CellColumn"/>
            </w:pPr>
            <w:r>
              <w:rPr>
                <w:rFonts w:cs="Times New Roman"/>
              </w:rPr>
              <w:t>A673013-PROJEKT PROSAFE</w:t>
            </w:r>
          </w:p>
        </w:tc>
        <w:tc>
          <w:tcPr>
            <w:tcW w:w="1632" w:type="dxa"/>
          </w:tcPr>
          <w:p w14:paraId="2DFD3120" w14:textId="77777777" w:rsidR="00DC6A1F" w:rsidRDefault="009C15A6">
            <w:pPr>
              <w:pStyle w:val="CellColumn"/>
            </w:pPr>
            <w:r>
              <w:rPr>
                <w:rFonts w:cs="Times New Roman"/>
              </w:rPr>
              <w:t>269</w:t>
            </w:r>
          </w:p>
        </w:tc>
        <w:tc>
          <w:tcPr>
            <w:tcW w:w="1632" w:type="dxa"/>
          </w:tcPr>
          <w:p w14:paraId="65525F35" w14:textId="77777777" w:rsidR="00DC6A1F" w:rsidRDefault="009C15A6">
            <w:pPr>
              <w:pStyle w:val="CellColumn"/>
            </w:pPr>
            <w:r>
              <w:rPr>
                <w:rFonts w:cs="Times New Roman"/>
              </w:rPr>
              <w:t>9.954</w:t>
            </w:r>
          </w:p>
        </w:tc>
        <w:tc>
          <w:tcPr>
            <w:tcW w:w="1632" w:type="dxa"/>
          </w:tcPr>
          <w:p w14:paraId="241B5224" w14:textId="77777777" w:rsidR="00DC6A1F" w:rsidRDefault="009C15A6">
            <w:pPr>
              <w:pStyle w:val="CellColumn"/>
            </w:pPr>
            <w:r>
              <w:rPr>
                <w:rFonts w:cs="Times New Roman"/>
              </w:rPr>
              <w:t>55.085</w:t>
            </w:r>
          </w:p>
        </w:tc>
        <w:tc>
          <w:tcPr>
            <w:tcW w:w="1632" w:type="dxa"/>
          </w:tcPr>
          <w:p w14:paraId="472AF968" w14:textId="77777777" w:rsidR="00DC6A1F" w:rsidRDefault="009C15A6">
            <w:pPr>
              <w:pStyle w:val="CellColumn"/>
            </w:pPr>
            <w:r>
              <w:rPr>
                <w:rFonts w:cs="Times New Roman"/>
              </w:rPr>
              <w:t>5.000</w:t>
            </w:r>
          </w:p>
        </w:tc>
        <w:tc>
          <w:tcPr>
            <w:tcW w:w="1632" w:type="dxa"/>
          </w:tcPr>
          <w:p w14:paraId="56AEEBD0" w14:textId="77777777" w:rsidR="00DC6A1F" w:rsidRDefault="009C15A6">
            <w:pPr>
              <w:pStyle w:val="CellColumn"/>
            </w:pPr>
            <w:r>
              <w:rPr>
                <w:rFonts w:cs="Times New Roman"/>
              </w:rPr>
              <w:t>5.000</w:t>
            </w:r>
          </w:p>
        </w:tc>
        <w:tc>
          <w:tcPr>
            <w:tcW w:w="510" w:type="dxa"/>
          </w:tcPr>
          <w:p w14:paraId="0F996D06" w14:textId="77777777" w:rsidR="00DC6A1F" w:rsidRDefault="009C15A6">
            <w:pPr>
              <w:pStyle w:val="CellColumn"/>
            </w:pPr>
            <w:r>
              <w:rPr>
                <w:rFonts w:cs="Times New Roman"/>
              </w:rPr>
              <w:t>553,4</w:t>
            </w:r>
          </w:p>
        </w:tc>
      </w:tr>
    </w:tbl>
    <w:p w14:paraId="49DEFE2C" w14:textId="77777777" w:rsidR="00DC6A1F" w:rsidRDefault="00DC6A1F">
      <w:pPr>
        <w:jc w:val="left"/>
      </w:pPr>
    </w:p>
    <w:p w14:paraId="0AC9B0EF" w14:textId="77777777" w:rsidR="00DC6A1F" w:rsidRDefault="009C15A6">
      <w:r>
        <w:t>Tržišna inspekcija sudjelovala je u projektu Joint Market Surveillance Action on HARmonised Products 2022 (JAHARP2022), uz sudjelovanje ukupno 25 tijela za nadzor tržišta iz 16 država članica te je isti sufinanciran od Europske unije, a koordiniran je od strane neprofitne organizacije Prosafe, koja je bila zadužena i za administraciju projekta te je svaki pojedini korisnik projekta, sudjelovao kroz radne sate uložene u aktivnosti koje su se provodile kroz projekt. Samo trajanje projekta bilo je predviđeno k</w:t>
      </w:r>
      <w:r>
        <w:t>roz razdoblje od dvije godine, te je projekt završio u prvoj polovici 2025. godine. Pri tome je tržišna inspekcija bila uključena u dvije aktivnosti kroz dva različita sektorska područja, odnosno dva podprojekta i to u dijelu energetske učinkovitosti te sigurnosti strojeva: JAHARP2022 - I –Washing Machines (perilice rublja) usmjeren na aspekte zahtjeva energetske učinkovitosti i ekološkog dizajna perilica rublja, te JAHARP2022 - III - Chain saws (lančane pile) koja se odnosi na područje EU zakonodavstva vez</w:t>
      </w:r>
      <w:r>
        <w:t xml:space="preserve">ano uz sigurnost strojeva. </w:t>
      </w:r>
    </w:p>
    <w:p w14:paraId="76957738" w14:textId="77777777" w:rsidR="00DC6A1F" w:rsidRDefault="009C15A6">
      <w:r>
        <w:t>Obzirom da su uzorkovanja proizvoda iz oba radna paketa izvršena u 2024. godini, a u 2025. godini nije bilo dodatnih uzorkovanja proizvoda s tržišta te je projekt i završio tijekom 2025. godine, za razdoblje 2026. do 2028. za isti projekt nije potrebno planirati dodatna sredstva te su ista iz donosa ostala neutrošena. Osim toga, Europska komisija nije trenutno najavila nove projekte vezano uz predmetnu aktivnost.</w:t>
      </w:r>
    </w:p>
    <w:p w14:paraId="5F0B9A99" w14:textId="77777777" w:rsidR="00DC6A1F" w:rsidRDefault="009C15A6">
      <w:pPr>
        <w:pStyle w:val="Naslov4"/>
      </w:pPr>
      <w:r>
        <w:t>A673014 NADZOR GRAĐENJA</w:t>
      </w:r>
    </w:p>
    <w:p w14:paraId="5B36D824" w14:textId="77777777" w:rsidR="00DC6A1F" w:rsidRDefault="009C15A6">
      <w:pPr>
        <w:pStyle w:val="Naslov8"/>
        <w:jc w:val="left"/>
      </w:pPr>
      <w:r>
        <w:t>Zakonske i druge pravne osnove</w:t>
      </w:r>
    </w:p>
    <w:p w14:paraId="620EC0E1" w14:textId="77777777" w:rsidR="00DC6A1F" w:rsidRDefault="009C15A6">
      <w:pPr>
        <w:pStyle w:val="Normal5"/>
      </w:pPr>
      <w:r>
        <w:t>Zakon o državnom inspektoratu - članci 25.; 100. do 123.; Zakon o gradnji (sa tehničkim propisima i podzakonskim aktima donesenim na temelju tog Zakona) - članci 16, 106a, 107, 128.; 131.; 150, 155, 156. st.4., 160.; 162 do 172., i dr., Zakon o građevnim proizvodima.- članak 58. st.2.; Zakon o postupanju s nezakonito izgrađenim zgradama - članak 42.; Pravilnik o jednostavnim i drugim građevinama i radovima - članci 1.; 4.; 5.; 5a. i 6.; Pravilnik o sadržaju i izgledu ploče kojom se označava gradilište; Prav</w:t>
      </w:r>
      <w:r>
        <w:t xml:space="preserve">ilnik o održavanju građevina; Pravilnik o načinu označavanja građevine opasnom; Prostorni planovi državne, područne (regionalne) i lokalne razine, Naputak o načinu rada građevinske inspekcije; Naputak o načinu pečaćenja kada se rješenje inspektora Državnog inspektorata izvršava pečaćenjem i o načinu zatvaranja i označivanja zatvorenog gradilišta - članci 11.-17.; Uredba o određivanju građevina, drugih zahvata u prostoru i površina državnog i područnog (regionalnog) značaja.  </w:t>
      </w:r>
    </w:p>
    <w:p w14:paraId="6B0A75D7" w14:textId="77777777" w:rsidR="00DC6A1F" w:rsidRDefault="009C15A6">
      <w:pPr>
        <w:pStyle w:val="Normal5"/>
      </w:pPr>
      <w:r>
        <w:t xml:space="preserve">Uklanjanja nezakonitih građevina: Zakon o državnom inspektoratu članci 114.,115.,121. i 122. </w:t>
      </w:r>
    </w:p>
    <w:p w14:paraId="0B57ADD9" w14:textId="77777777" w:rsidR="00DC6A1F" w:rsidRDefault="009C15A6">
      <w:pPr>
        <w:pStyle w:val="Normal5"/>
      </w:pPr>
      <w:r>
        <w:lastRenderedPageBreak/>
        <w:t>Uklanjanja uništenih zgrada:Zakon o državnom inspektoratu čl.113.a; Zakon o obnovi zgrada oštećenih potresom na području Grada Zagreba, Krapinsko-zagorske županije, Zagrebačke županije, Sisačko-moslavačke županije i Karlovačke županije,čl. 38, Zakon o javnoj nabavi.</w:t>
      </w:r>
    </w:p>
    <w:tbl>
      <w:tblPr>
        <w:tblStyle w:val="StilTablice"/>
        <w:tblW w:w="10206" w:type="dxa"/>
        <w:jc w:val="center"/>
        <w:tblLook w:val="04A0" w:firstRow="1" w:lastRow="0" w:firstColumn="1" w:lastColumn="0" w:noHBand="0" w:noVBand="1"/>
      </w:tblPr>
      <w:tblGrid>
        <w:gridCol w:w="1490"/>
        <w:gridCol w:w="1550"/>
        <w:gridCol w:w="1549"/>
        <w:gridCol w:w="1549"/>
        <w:gridCol w:w="1549"/>
        <w:gridCol w:w="1549"/>
        <w:gridCol w:w="970"/>
      </w:tblGrid>
      <w:tr w:rsidR="00DC6A1F" w14:paraId="06E863C8" w14:textId="77777777">
        <w:trPr>
          <w:jc w:val="center"/>
        </w:trPr>
        <w:tc>
          <w:tcPr>
            <w:tcW w:w="1530" w:type="dxa"/>
            <w:shd w:val="clear" w:color="auto" w:fill="B5C0D8"/>
          </w:tcPr>
          <w:p w14:paraId="3DB5114F" w14:textId="77777777" w:rsidR="00DC6A1F" w:rsidRDefault="009C15A6">
            <w:pPr>
              <w:pStyle w:val="CellHeader"/>
            </w:pPr>
            <w:r>
              <w:rPr>
                <w:rFonts w:cs="Times New Roman"/>
              </w:rPr>
              <w:t>Naziv aktivnosti</w:t>
            </w:r>
          </w:p>
        </w:tc>
        <w:tc>
          <w:tcPr>
            <w:tcW w:w="1632" w:type="dxa"/>
            <w:shd w:val="clear" w:color="auto" w:fill="B5C0D8"/>
          </w:tcPr>
          <w:p w14:paraId="6665D55E" w14:textId="77777777" w:rsidR="00DC6A1F" w:rsidRDefault="009C15A6">
            <w:pPr>
              <w:pStyle w:val="CellHeader"/>
            </w:pPr>
            <w:r>
              <w:rPr>
                <w:rFonts w:cs="Times New Roman"/>
              </w:rPr>
              <w:t>Izvršenje 2024. (eur)</w:t>
            </w:r>
          </w:p>
        </w:tc>
        <w:tc>
          <w:tcPr>
            <w:tcW w:w="1632" w:type="dxa"/>
            <w:shd w:val="clear" w:color="auto" w:fill="B5C0D8"/>
          </w:tcPr>
          <w:p w14:paraId="6BB776E6" w14:textId="77777777" w:rsidR="00DC6A1F" w:rsidRDefault="009C15A6">
            <w:pPr>
              <w:pStyle w:val="CellHeader"/>
            </w:pPr>
            <w:r>
              <w:rPr>
                <w:rFonts w:cs="Times New Roman"/>
              </w:rPr>
              <w:t>Plan 2025. (eur)</w:t>
            </w:r>
          </w:p>
        </w:tc>
        <w:tc>
          <w:tcPr>
            <w:tcW w:w="1632" w:type="dxa"/>
            <w:shd w:val="clear" w:color="auto" w:fill="B5C0D8"/>
          </w:tcPr>
          <w:p w14:paraId="78594A24" w14:textId="77777777" w:rsidR="00DC6A1F" w:rsidRDefault="009C15A6">
            <w:pPr>
              <w:pStyle w:val="CellHeader"/>
            </w:pPr>
            <w:r>
              <w:rPr>
                <w:rFonts w:cs="Times New Roman"/>
              </w:rPr>
              <w:t>Plan 2026. (eur)</w:t>
            </w:r>
          </w:p>
        </w:tc>
        <w:tc>
          <w:tcPr>
            <w:tcW w:w="1632" w:type="dxa"/>
            <w:shd w:val="clear" w:color="auto" w:fill="B5C0D8"/>
          </w:tcPr>
          <w:p w14:paraId="147E3932" w14:textId="77777777" w:rsidR="00DC6A1F" w:rsidRDefault="009C15A6">
            <w:pPr>
              <w:pStyle w:val="CellHeader"/>
            </w:pPr>
            <w:r>
              <w:rPr>
                <w:rFonts w:cs="Times New Roman"/>
              </w:rPr>
              <w:t>Plan 2027. (eur)</w:t>
            </w:r>
          </w:p>
        </w:tc>
        <w:tc>
          <w:tcPr>
            <w:tcW w:w="1632" w:type="dxa"/>
            <w:shd w:val="clear" w:color="auto" w:fill="B5C0D8"/>
          </w:tcPr>
          <w:p w14:paraId="4964FF37" w14:textId="77777777" w:rsidR="00DC6A1F" w:rsidRDefault="009C15A6">
            <w:pPr>
              <w:pStyle w:val="CellHeader"/>
            </w:pPr>
            <w:r>
              <w:rPr>
                <w:rFonts w:cs="Times New Roman"/>
              </w:rPr>
              <w:t>Plan 2028. (eur)</w:t>
            </w:r>
          </w:p>
        </w:tc>
        <w:tc>
          <w:tcPr>
            <w:tcW w:w="510" w:type="dxa"/>
            <w:shd w:val="clear" w:color="auto" w:fill="B5C0D8"/>
          </w:tcPr>
          <w:p w14:paraId="429FC8D5" w14:textId="77777777" w:rsidR="00DC6A1F" w:rsidRDefault="009C15A6">
            <w:pPr>
              <w:pStyle w:val="CellHeader"/>
            </w:pPr>
            <w:r>
              <w:rPr>
                <w:rFonts w:cs="Times New Roman"/>
              </w:rPr>
              <w:t>Indeks 2026/2025</w:t>
            </w:r>
          </w:p>
        </w:tc>
      </w:tr>
      <w:tr w:rsidR="00DC6A1F" w14:paraId="251D9A45" w14:textId="77777777">
        <w:trPr>
          <w:jc w:val="center"/>
        </w:trPr>
        <w:tc>
          <w:tcPr>
            <w:tcW w:w="1530" w:type="dxa"/>
          </w:tcPr>
          <w:p w14:paraId="1C489F50" w14:textId="77777777" w:rsidR="00DC6A1F" w:rsidRDefault="009C15A6">
            <w:pPr>
              <w:pStyle w:val="CellColumn"/>
            </w:pPr>
            <w:r>
              <w:rPr>
                <w:rFonts w:cs="Times New Roman"/>
              </w:rPr>
              <w:t>A673014-NADZOR GRAĐENJA</w:t>
            </w:r>
          </w:p>
        </w:tc>
        <w:tc>
          <w:tcPr>
            <w:tcW w:w="1632" w:type="dxa"/>
          </w:tcPr>
          <w:p w14:paraId="2914879F" w14:textId="77777777" w:rsidR="00DC6A1F" w:rsidRDefault="009C15A6">
            <w:pPr>
              <w:pStyle w:val="CellColumn"/>
            </w:pPr>
            <w:r>
              <w:rPr>
                <w:rFonts w:cs="Times New Roman"/>
              </w:rPr>
              <w:t>2.316.522</w:t>
            </w:r>
          </w:p>
        </w:tc>
        <w:tc>
          <w:tcPr>
            <w:tcW w:w="1632" w:type="dxa"/>
          </w:tcPr>
          <w:p w14:paraId="13A3A426" w14:textId="77777777" w:rsidR="00DC6A1F" w:rsidRDefault="009C15A6">
            <w:pPr>
              <w:pStyle w:val="CellColumn"/>
            </w:pPr>
            <w:r>
              <w:rPr>
                <w:rFonts w:cs="Times New Roman"/>
              </w:rPr>
              <w:t>2.078.500</w:t>
            </w:r>
          </w:p>
        </w:tc>
        <w:tc>
          <w:tcPr>
            <w:tcW w:w="1632" w:type="dxa"/>
          </w:tcPr>
          <w:p w14:paraId="07DD00ED" w14:textId="77777777" w:rsidR="00DC6A1F" w:rsidRDefault="009C15A6">
            <w:pPr>
              <w:pStyle w:val="CellColumn"/>
            </w:pPr>
            <w:r>
              <w:rPr>
                <w:rFonts w:cs="Times New Roman"/>
              </w:rPr>
              <w:t>2.064.000</w:t>
            </w:r>
          </w:p>
        </w:tc>
        <w:tc>
          <w:tcPr>
            <w:tcW w:w="1632" w:type="dxa"/>
          </w:tcPr>
          <w:p w14:paraId="447943A3" w14:textId="77777777" w:rsidR="00DC6A1F" w:rsidRDefault="009C15A6">
            <w:pPr>
              <w:pStyle w:val="CellColumn"/>
            </w:pPr>
            <w:r>
              <w:rPr>
                <w:rFonts w:cs="Times New Roman"/>
              </w:rPr>
              <w:t>2.064.000</w:t>
            </w:r>
          </w:p>
        </w:tc>
        <w:tc>
          <w:tcPr>
            <w:tcW w:w="1632" w:type="dxa"/>
          </w:tcPr>
          <w:p w14:paraId="7B249F40" w14:textId="77777777" w:rsidR="00DC6A1F" w:rsidRDefault="009C15A6">
            <w:pPr>
              <w:pStyle w:val="CellColumn"/>
            </w:pPr>
            <w:r>
              <w:rPr>
                <w:rFonts w:cs="Times New Roman"/>
              </w:rPr>
              <w:t>2.564.000</w:t>
            </w:r>
          </w:p>
        </w:tc>
        <w:tc>
          <w:tcPr>
            <w:tcW w:w="510" w:type="dxa"/>
          </w:tcPr>
          <w:p w14:paraId="46FE4EB0" w14:textId="77777777" w:rsidR="00DC6A1F" w:rsidRDefault="009C15A6">
            <w:pPr>
              <w:pStyle w:val="CellColumn"/>
            </w:pPr>
            <w:r>
              <w:rPr>
                <w:rFonts w:cs="Times New Roman"/>
              </w:rPr>
              <w:t>99,3</w:t>
            </w:r>
          </w:p>
        </w:tc>
      </w:tr>
    </w:tbl>
    <w:p w14:paraId="7BB404DB" w14:textId="77777777" w:rsidR="00DC6A1F" w:rsidRDefault="00DC6A1F">
      <w:pPr>
        <w:jc w:val="left"/>
      </w:pPr>
    </w:p>
    <w:p w14:paraId="442B43D0" w14:textId="77777777" w:rsidR="00DC6A1F" w:rsidRDefault="009C15A6">
      <w:r>
        <w:t xml:space="preserve">Sredstva planirana za razdoblje od 2026. do 2028. godine u ovoj aktivnosti odnose se na djelokrug rada građevinske inspekcije odnosno na obavljanje inspekcijskih poslova nadzora građenja, rada sudionika u gradnji tijekom građenja, održavanja i uporabe građevina te provedbu uklanjanja nezakonito izgrađenih građevina i uklanjanja zgrada uništenih u potresima ili drugim katastrofama. </w:t>
      </w:r>
    </w:p>
    <w:p w14:paraId="4AD55EF3" w14:textId="77777777" w:rsidR="00DC6A1F" w:rsidRDefault="009C15A6">
      <w:r>
        <w:t xml:space="preserve">Poslove građevinske inspekcije obavljaju inspektori raspoređeni u sjedištu Državnog inspektorata u Zagrebu ovlašteni obavljati zahtjevnije nadzore građenja na cijelom području Republike Hrvatske, uključujući nadzor građevina državnog značaja te inspektori raspoređeni u pet Područnih ureda koji su mjesno nadležni za područja svih županija i Grada Zagreba. </w:t>
      </w:r>
    </w:p>
    <w:p w14:paraId="76A868B1" w14:textId="77777777" w:rsidR="00DC6A1F" w:rsidRDefault="009C15A6">
      <w:r>
        <w:t xml:space="preserve">U narednom razdoblju građevinska inspekcija prioritetno će obavljati poslove sukladno Provedbenom programu Državnog inspektorata za razdoblje 2024. do 2028. godine, koje se odnose na provedbu mjera „Suzbijanje nezakonitog građenja i unaprjeđenje zakonitosti građenja“ i „Uklanjanje zgrada uništenih zbog potresa, poplava i drugih izvanrednih događaja“. </w:t>
      </w:r>
    </w:p>
    <w:p w14:paraId="35C53507" w14:textId="77777777" w:rsidR="00DC6A1F" w:rsidRDefault="009C15A6">
      <w:r>
        <w:t xml:space="preserve">Ključne točke provedbe navedenih mjera bit će usmjerene na povećanje prisutnosti inspektora „na terenu“ radi zaštite posebno zaštićenih i izvan građevinskih područja kao što su nacionalni parkovi, parkovi prirode, kulturna dobra, zaštićeno obalno područje mora i druga vrijedna područja, čime se doprinosi zaštiti i očuvanju identiteta vrijednog prostora Republike Hrvatske od daljnje devastacije koju uzrokuje nezakonito i nekvalitetno građenje.  </w:t>
      </w:r>
    </w:p>
    <w:p w14:paraId="69902894" w14:textId="77777777" w:rsidR="00DC6A1F" w:rsidRDefault="009C15A6">
      <w:r>
        <w:t>Osim poslova vezanih za nezakonito građenje, građevinska inspekcija započela je nakon potresa iz 2020. godine uklanjati zgrade na temelju odluka Stožera civilne zaštite RH (uklonjeno 105 zgrada). Od 29. listopada 2021. godine stupio je na snagu članak 113.a Zakona o dopuni Zakona o Državnom inspektoratu („Narodne novine“, broj 117/21) te građevinska inspekcija od tada donosi rješenja i provodi postupke uklanjanja uništenih zgrada nakon svih izvanrednih događaja i katastrofa. Ukupno je od 2021. godine uklonj</w:t>
      </w:r>
      <w:r>
        <w:t xml:space="preserve">eno skoro 700 zgrada uništenih u potresima te će se uklanjanje nastaviti i u narednom razdoblju.  </w:t>
      </w:r>
    </w:p>
    <w:p w14:paraId="5A71AA34" w14:textId="77777777" w:rsidR="00DC6A1F" w:rsidRDefault="009C15A6">
      <w:r>
        <w:t>Najveći dio sredstava iz ove aktivnosti planira se za provedbu postupaka uklanjanja (rušenja) nezakonitih građevina te za uklanjanje zgrada koje su uništene u prirodnim i drugim katastrofama, koji postupci se provode putem treće osobe odnosno ugovornog izvođača izabranog putem postupaka javne nabave. Troškovi uklanjanja nezakonitih građevina osiguravaju se u proračunu sve do naplate od izvršenika, a troškovi uklanjanja uništenih zgrada, uključujući troškove zbrinjavanja i obrade građevinskog otpada, namiruj</w:t>
      </w:r>
      <w:r>
        <w:t xml:space="preserve">u se iz državnog proračuna. </w:t>
      </w:r>
    </w:p>
    <w:p w14:paraId="559B7112" w14:textId="77777777" w:rsidR="00DC6A1F" w:rsidRDefault="009C15A6">
      <w:r>
        <w:t>Dio planiranih sredstava u proračunu odnosi se na troškove službenih putovanja i smještaj građevinskih inspektora kada obavljaju nadzore na udaljenim lokacijama. Naime, zbog nedostatnog broja mjesno nadležnih inspektora, prisutnost građevinske inspekcije na vrijednim područjima osigurava se organiziranim akcijama pojačanog nadzora, kada više inspektora iz svih područnih ureda i središnjice Inspektorata obavljaju sustavne nadzore građenja, zatvaraju gradilišta, donose rješenja o uklanjanju nezakonito izgrađe</w:t>
      </w:r>
      <w:r>
        <w:t xml:space="preserve">nih građevina, obavljaju kontrolne nadzore te provode druge propisane mjere protiv bespravnih graditelja. </w:t>
      </w:r>
    </w:p>
    <w:p w14:paraId="474D93C2" w14:textId="77777777" w:rsidR="00DC6A1F" w:rsidRDefault="009C15A6">
      <w:r>
        <w:t xml:space="preserve">Tijekom inspekcijskih postupaka dio sredstava koristi se za intelektualne i druge usluge kao što je nabava stručnih elaborata o stanju konstrukcije zgrade, nalazi sudskih vještaka, usluge ovlaštenih prevoditelja te po potrebi laboratorijska ispitivanja kvalitete građevnih proizvoda. Iz iste stavke nabavlja se i potrebna količina službenih znakova „zatvoreno gradilište“ i „opasna građevina“.  </w:t>
      </w:r>
    </w:p>
    <w:p w14:paraId="062A599D" w14:textId="77777777" w:rsidR="00DC6A1F" w:rsidRDefault="009C15A6">
      <w:r>
        <w:t>Nakon postupanja građevinske inspekcije investitori nezakonitog građenja često sami uklanjaju građevine, uglavnom kada se građevinska inspekcija s izvođačem pojavi na lokaciji. Investitorima koji nisu u zadanom roku uklonili nezakonitu građevinu donose se rješenja o troškovima izvršenja. te veliki broj pokreće sudske sporove - parnice velike vrijednosti zbog visine troškova uklanjanja, pokušavajući dokazati štetu koja da im je nastala uklanjanjem. Iako se parnice uglavnom okončaju povoljno za državu, potreb</w:t>
      </w:r>
      <w:r>
        <w:t xml:space="preserve">no je osigurati dio sredstava u proračunu jer postoji mogućnost da sud presudi u korist izvršenika. </w:t>
      </w:r>
    </w:p>
    <w:p w14:paraId="21BC913D" w14:textId="77777777" w:rsidR="00DC6A1F" w:rsidRDefault="009C15A6">
      <w:r>
        <w:lastRenderedPageBreak/>
        <w:t>Sve mjere koje poduzima građevinska inspekcija rezultiraju postupnim poboljšanjem stanja zakonitosti građenja u Republici Hrvatskoj, što se očekuje i u narednom razdoblju. Uočeno je da investitori u sve većem broju poštuju propise, sami uklanjaju nezakonite građevine ili usklade građenje s propisima ishođenjem propisanog akta, posebno nakon što im inspektori započnu izricati visoke novčane kazne. Člankom 114. Zakona o Državnom inspektoratu određeno je da se investitore koji nezakonito grade u građevinskom p</w:t>
      </w:r>
      <w:r>
        <w:t xml:space="preserve">odručju prisiljava na uklanjanje izricanjem ukupno tri novčane kazne, a u slučaju da ne uplate kaznu, pokreće se postupak ovrhe putem Državnog odvjetništva i FINE, koja sredstva se uplaćuju u državni proračun. Tako je u razdoblju od 01. travnja 2019. godine do 01. listopada 2025. godine vrijednost izrečenih kazni iznosila više od 16.500.000,00 eura, od kojih je u Državni proračun uplaćeno skoro 10.000.000,00 eura. U istom razdoblju uklonjeno je iz prostora ukupno 2.305 nezakonitih građevina, od kojeg broja </w:t>
      </w:r>
      <w:r>
        <w:t>je 151 prisilno uklonio DIRH putem ugovornih izvođača te je 1.400 građevina usklađeno s propisima.</w:t>
      </w:r>
    </w:p>
    <w:p w14:paraId="5A1C8349" w14:textId="77777777" w:rsidR="00DC6A1F" w:rsidRDefault="009C15A6">
      <w:pPr>
        <w:pStyle w:val="Naslov8"/>
        <w:jc w:val="left"/>
      </w:pPr>
      <w:r>
        <w:t>Pokazatelji rezultata</w:t>
      </w:r>
    </w:p>
    <w:tbl>
      <w:tblPr>
        <w:tblStyle w:val="StilTablice"/>
        <w:tblW w:w="10206" w:type="dxa"/>
        <w:jc w:val="center"/>
        <w:tblLook w:val="04A0" w:firstRow="1" w:lastRow="0" w:firstColumn="1" w:lastColumn="0" w:noHBand="0" w:noVBand="1"/>
      </w:tblPr>
      <w:tblGrid>
        <w:gridCol w:w="1862"/>
        <w:gridCol w:w="1863"/>
        <w:gridCol w:w="1716"/>
        <w:gridCol w:w="1126"/>
        <w:gridCol w:w="888"/>
        <w:gridCol w:w="917"/>
        <w:gridCol w:w="917"/>
        <w:gridCol w:w="917"/>
      </w:tblGrid>
      <w:tr w:rsidR="00DC6A1F" w14:paraId="0F987FB6" w14:textId="77777777">
        <w:trPr>
          <w:jc w:val="center"/>
        </w:trPr>
        <w:tc>
          <w:tcPr>
            <w:tcW w:w="2245" w:type="dxa"/>
            <w:shd w:val="clear" w:color="auto" w:fill="B5C0D8"/>
          </w:tcPr>
          <w:p w14:paraId="12E57538" w14:textId="77777777" w:rsidR="00DC6A1F" w:rsidRDefault="009C15A6">
            <w:r>
              <w:t>Pokazatelj rezultata</w:t>
            </w:r>
          </w:p>
        </w:tc>
        <w:tc>
          <w:tcPr>
            <w:tcW w:w="2245" w:type="dxa"/>
            <w:shd w:val="clear" w:color="auto" w:fill="B5C0D8"/>
          </w:tcPr>
          <w:p w14:paraId="07CE95D3" w14:textId="77777777" w:rsidR="00DC6A1F" w:rsidRDefault="009C15A6">
            <w:pPr>
              <w:pStyle w:val="CellHeader"/>
            </w:pPr>
            <w:r>
              <w:rPr>
                <w:rFonts w:cs="Times New Roman"/>
              </w:rPr>
              <w:t>Definicija</w:t>
            </w:r>
          </w:p>
        </w:tc>
        <w:tc>
          <w:tcPr>
            <w:tcW w:w="2245" w:type="dxa"/>
            <w:shd w:val="clear" w:color="auto" w:fill="B5C0D8"/>
          </w:tcPr>
          <w:p w14:paraId="1B568723" w14:textId="77777777" w:rsidR="00DC6A1F" w:rsidRDefault="009C15A6">
            <w:pPr>
              <w:pStyle w:val="CellHeader"/>
            </w:pPr>
            <w:r>
              <w:rPr>
                <w:rFonts w:cs="Times New Roman"/>
              </w:rPr>
              <w:t>Jedinica</w:t>
            </w:r>
          </w:p>
        </w:tc>
        <w:tc>
          <w:tcPr>
            <w:tcW w:w="918" w:type="dxa"/>
            <w:shd w:val="clear" w:color="auto" w:fill="B5C0D8"/>
          </w:tcPr>
          <w:p w14:paraId="618B0821" w14:textId="77777777" w:rsidR="00DC6A1F" w:rsidRDefault="009C15A6">
            <w:pPr>
              <w:pStyle w:val="CellHeader"/>
            </w:pPr>
            <w:r>
              <w:rPr>
                <w:rFonts w:cs="Times New Roman"/>
              </w:rPr>
              <w:t>Polazna vrijednost</w:t>
            </w:r>
          </w:p>
        </w:tc>
        <w:tc>
          <w:tcPr>
            <w:tcW w:w="918" w:type="dxa"/>
            <w:shd w:val="clear" w:color="auto" w:fill="B5C0D8"/>
          </w:tcPr>
          <w:p w14:paraId="2DC3BF98" w14:textId="77777777" w:rsidR="00DC6A1F" w:rsidRDefault="009C15A6">
            <w:pPr>
              <w:pStyle w:val="CellHeader"/>
            </w:pPr>
            <w:r>
              <w:rPr>
                <w:rFonts w:cs="Times New Roman"/>
              </w:rPr>
              <w:t>Izvor podataka</w:t>
            </w:r>
          </w:p>
        </w:tc>
        <w:tc>
          <w:tcPr>
            <w:tcW w:w="918" w:type="dxa"/>
            <w:shd w:val="clear" w:color="auto" w:fill="B5C0D8"/>
          </w:tcPr>
          <w:p w14:paraId="4999E962" w14:textId="77777777" w:rsidR="00DC6A1F" w:rsidRDefault="009C15A6">
            <w:pPr>
              <w:pStyle w:val="CellHeader"/>
            </w:pPr>
            <w:r>
              <w:rPr>
                <w:rFonts w:cs="Times New Roman"/>
              </w:rPr>
              <w:t>Ciljana vrijednost (2026.)</w:t>
            </w:r>
          </w:p>
        </w:tc>
        <w:tc>
          <w:tcPr>
            <w:tcW w:w="918" w:type="dxa"/>
            <w:shd w:val="clear" w:color="auto" w:fill="B5C0D8"/>
          </w:tcPr>
          <w:p w14:paraId="309B332A" w14:textId="77777777" w:rsidR="00DC6A1F" w:rsidRDefault="009C15A6">
            <w:pPr>
              <w:pStyle w:val="CellHeader"/>
            </w:pPr>
            <w:r>
              <w:rPr>
                <w:rFonts w:cs="Times New Roman"/>
              </w:rPr>
              <w:t>Ciljana vrijednost (2027.)</w:t>
            </w:r>
          </w:p>
        </w:tc>
        <w:tc>
          <w:tcPr>
            <w:tcW w:w="918" w:type="dxa"/>
            <w:shd w:val="clear" w:color="auto" w:fill="B5C0D8"/>
          </w:tcPr>
          <w:p w14:paraId="4D068E93" w14:textId="77777777" w:rsidR="00DC6A1F" w:rsidRDefault="009C15A6">
            <w:pPr>
              <w:pStyle w:val="CellHeader"/>
            </w:pPr>
            <w:r>
              <w:rPr>
                <w:rFonts w:cs="Times New Roman"/>
              </w:rPr>
              <w:t>Ciljana vrijednost (2028.)</w:t>
            </w:r>
          </w:p>
        </w:tc>
      </w:tr>
      <w:tr w:rsidR="00DC6A1F" w14:paraId="4AF2E294" w14:textId="77777777">
        <w:trPr>
          <w:jc w:val="center"/>
        </w:trPr>
        <w:tc>
          <w:tcPr>
            <w:tcW w:w="2245" w:type="dxa"/>
          </w:tcPr>
          <w:p w14:paraId="68682894" w14:textId="77777777" w:rsidR="00DC6A1F" w:rsidRDefault="009C15A6">
            <w:pPr>
              <w:pStyle w:val="CellColumn"/>
            </w:pPr>
            <w:r>
              <w:rPr>
                <w:rFonts w:cs="Times New Roman"/>
              </w:rPr>
              <w:t>Povećanje broja inspekcijskih nadzora građenja u posebno zaštićenim i izvan građevinskim područjima</w:t>
            </w:r>
          </w:p>
        </w:tc>
        <w:tc>
          <w:tcPr>
            <w:tcW w:w="2245" w:type="dxa"/>
          </w:tcPr>
          <w:p w14:paraId="7EE9B032" w14:textId="77777777" w:rsidR="00DC6A1F" w:rsidRDefault="009C15A6">
            <w:pPr>
              <w:pStyle w:val="CellColumn"/>
            </w:pPr>
            <w:r>
              <w:rPr>
                <w:rFonts w:cs="Times New Roman"/>
              </w:rPr>
              <w:t>Veći broj nadzora građenja u zaštićenim i izvan građevinskim područjima doprinosi zaštiti i očuvanju identiteta vrijednog prostora Republike Hrvatske od daljnje devastacije koju uzrokuje nezakonito građenje.</w:t>
            </w:r>
          </w:p>
        </w:tc>
        <w:tc>
          <w:tcPr>
            <w:tcW w:w="918" w:type="dxa"/>
          </w:tcPr>
          <w:p w14:paraId="661966B9" w14:textId="77777777" w:rsidR="00DC6A1F" w:rsidRDefault="009C15A6">
            <w:pPr>
              <w:pStyle w:val="CellColumn"/>
            </w:pPr>
            <w:r>
              <w:rPr>
                <w:rFonts w:cs="Times New Roman"/>
              </w:rPr>
              <w:t>Broj</w:t>
            </w:r>
          </w:p>
        </w:tc>
        <w:tc>
          <w:tcPr>
            <w:tcW w:w="918" w:type="dxa"/>
          </w:tcPr>
          <w:p w14:paraId="7786AB15" w14:textId="77777777" w:rsidR="00DC6A1F" w:rsidRDefault="009C15A6">
            <w:pPr>
              <w:pStyle w:val="CellColumn"/>
            </w:pPr>
            <w:r>
              <w:rPr>
                <w:rFonts w:cs="Times New Roman"/>
              </w:rPr>
              <w:t>1072</w:t>
            </w:r>
          </w:p>
        </w:tc>
        <w:tc>
          <w:tcPr>
            <w:tcW w:w="918" w:type="dxa"/>
          </w:tcPr>
          <w:p w14:paraId="045E49B5" w14:textId="77777777" w:rsidR="00DC6A1F" w:rsidRDefault="009C15A6">
            <w:pPr>
              <w:pStyle w:val="CellColumn"/>
            </w:pPr>
            <w:r>
              <w:rPr>
                <w:rFonts w:cs="Times New Roman"/>
              </w:rPr>
              <w:t>DIRH</w:t>
            </w:r>
          </w:p>
        </w:tc>
        <w:tc>
          <w:tcPr>
            <w:tcW w:w="918" w:type="dxa"/>
          </w:tcPr>
          <w:p w14:paraId="303E48A5" w14:textId="77777777" w:rsidR="00DC6A1F" w:rsidRDefault="009C15A6">
            <w:pPr>
              <w:pStyle w:val="CellColumn"/>
            </w:pPr>
            <w:r>
              <w:rPr>
                <w:rFonts w:cs="Times New Roman"/>
              </w:rPr>
              <w:t>1200</w:t>
            </w:r>
          </w:p>
        </w:tc>
        <w:tc>
          <w:tcPr>
            <w:tcW w:w="918" w:type="dxa"/>
          </w:tcPr>
          <w:p w14:paraId="6075BC01" w14:textId="77777777" w:rsidR="00DC6A1F" w:rsidRDefault="009C15A6">
            <w:pPr>
              <w:pStyle w:val="CellColumn"/>
            </w:pPr>
            <w:r>
              <w:rPr>
                <w:rFonts w:cs="Times New Roman"/>
              </w:rPr>
              <w:t>1250</w:t>
            </w:r>
          </w:p>
        </w:tc>
        <w:tc>
          <w:tcPr>
            <w:tcW w:w="918" w:type="dxa"/>
          </w:tcPr>
          <w:p w14:paraId="1FBA58F1" w14:textId="77777777" w:rsidR="00DC6A1F" w:rsidRDefault="009C15A6">
            <w:pPr>
              <w:pStyle w:val="CellColumn"/>
            </w:pPr>
            <w:r>
              <w:rPr>
                <w:rFonts w:cs="Times New Roman"/>
              </w:rPr>
              <w:t>1250</w:t>
            </w:r>
          </w:p>
        </w:tc>
      </w:tr>
      <w:tr w:rsidR="00DC6A1F" w14:paraId="71C1461D" w14:textId="77777777">
        <w:trPr>
          <w:jc w:val="center"/>
        </w:trPr>
        <w:tc>
          <w:tcPr>
            <w:tcW w:w="2245" w:type="dxa"/>
          </w:tcPr>
          <w:p w14:paraId="62EB171D" w14:textId="77777777" w:rsidR="00DC6A1F" w:rsidRDefault="009C15A6">
            <w:pPr>
              <w:pStyle w:val="CellColumn"/>
            </w:pPr>
            <w:r>
              <w:rPr>
                <w:rFonts w:cs="Times New Roman"/>
              </w:rPr>
              <w:t>Povećanje broja uklonjenih građevina iz prostora te građevina usklađenih s propisima nakon postupanja inspekcije, u odnosu na ukupni broj donesenih rješenja kojima su naređene inspekcijske mjere i izrečene novčane kazne.</w:t>
            </w:r>
          </w:p>
        </w:tc>
        <w:tc>
          <w:tcPr>
            <w:tcW w:w="2245" w:type="dxa"/>
          </w:tcPr>
          <w:p w14:paraId="6FE29B15" w14:textId="77777777" w:rsidR="00DC6A1F" w:rsidRDefault="009C15A6">
            <w:pPr>
              <w:pStyle w:val="CellColumn"/>
            </w:pPr>
            <w:r>
              <w:rPr>
                <w:rFonts w:cs="Times New Roman"/>
              </w:rPr>
              <w:t>Rješenjima o uklanjanju građevina, o usklađenju građenja s izdanim aktom, obustavama daljnjeg građenja, izricanjem novčanih kazni, uklanjanjem građevina i drugim mjerama utječe se na suzbijanje nezakonitog građenja</w:t>
            </w:r>
          </w:p>
        </w:tc>
        <w:tc>
          <w:tcPr>
            <w:tcW w:w="918" w:type="dxa"/>
          </w:tcPr>
          <w:p w14:paraId="636475E1" w14:textId="77777777" w:rsidR="00DC6A1F" w:rsidRDefault="009C15A6">
            <w:pPr>
              <w:pStyle w:val="CellColumn"/>
            </w:pPr>
            <w:r>
              <w:rPr>
                <w:rFonts w:cs="Times New Roman"/>
              </w:rPr>
              <w:t>Postotak</w:t>
            </w:r>
          </w:p>
        </w:tc>
        <w:tc>
          <w:tcPr>
            <w:tcW w:w="918" w:type="dxa"/>
          </w:tcPr>
          <w:p w14:paraId="200B1F51" w14:textId="77777777" w:rsidR="00DC6A1F" w:rsidRDefault="009C15A6">
            <w:pPr>
              <w:pStyle w:val="CellColumn"/>
            </w:pPr>
            <w:r>
              <w:rPr>
                <w:rFonts w:cs="Times New Roman"/>
              </w:rPr>
              <w:t>43</w:t>
            </w:r>
          </w:p>
        </w:tc>
        <w:tc>
          <w:tcPr>
            <w:tcW w:w="918" w:type="dxa"/>
          </w:tcPr>
          <w:p w14:paraId="65BD3373" w14:textId="77777777" w:rsidR="00DC6A1F" w:rsidRDefault="009C15A6">
            <w:pPr>
              <w:pStyle w:val="CellColumn"/>
            </w:pPr>
            <w:r>
              <w:rPr>
                <w:rFonts w:cs="Times New Roman"/>
              </w:rPr>
              <w:t>DIRH</w:t>
            </w:r>
          </w:p>
        </w:tc>
        <w:tc>
          <w:tcPr>
            <w:tcW w:w="918" w:type="dxa"/>
          </w:tcPr>
          <w:p w14:paraId="266BB87E" w14:textId="77777777" w:rsidR="00DC6A1F" w:rsidRDefault="009C15A6">
            <w:pPr>
              <w:pStyle w:val="CellColumn"/>
            </w:pPr>
            <w:r>
              <w:rPr>
                <w:rFonts w:cs="Times New Roman"/>
              </w:rPr>
              <w:t>48</w:t>
            </w:r>
          </w:p>
        </w:tc>
        <w:tc>
          <w:tcPr>
            <w:tcW w:w="918" w:type="dxa"/>
          </w:tcPr>
          <w:p w14:paraId="0D917AF7" w14:textId="77777777" w:rsidR="00DC6A1F" w:rsidRDefault="009C15A6">
            <w:pPr>
              <w:pStyle w:val="CellColumn"/>
            </w:pPr>
            <w:r>
              <w:rPr>
                <w:rFonts w:cs="Times New Roman"/>
              </w:rPr>
              <w:t>50</w:t>
            </w:r>
          </w:p>
        </w:tc>
        <w:tc>
          <w:tcPr>
            <w:tcW w:w="918" w:type="dxa"/>
          </w:tcPr>
          <w:p w14:paraId="21270A42" w14:textId="77777777" w:rsidR="00DC6A1F" w:rsidRDefault="009C15A6">
            <w:pPr>
              <w:pStyle w:val="CellColumn"/>
            </w:pPr>
            <w:r>
              <w:rPr>
                <w:rFonts w:cs="Times New Roman"/>
              </w:rPr>
              <w:t>52</w:t>
            </w:r>
          </w:p>
        </w:tc>
      </w:tr>
      <w:tr w:rsidR="00DC6A1F" w14:paraId="38F5E228" w14:textId="77777777">
        <w:trPr>
          <w:jc w:val="center"/>
        </w:trPr>
        <w:tc>
          <w:tcPr>
            <w:tcW w:w="2245" w:type="dxa"/>
          </w:tcPr>
          <w:p w14:paraId="1EABB2F5" w14:textId="77777777" w:rsidR="00DC6A1F" w:rsidRDefault="009C15A6">
            <w:pPr>
              <w:pStyle w:val="CellColumn"/>
            </w:pPr>
            <w:r>
              <w:rPr>
                <w:rFonts w:cs="Times New Roman"/>
              </w:rPr>
              <w:t>Uklanjanje zgrada uništenih zbog potresa, poplava i drugih izvanrednih događaja.</w:t>
            </w:r>
          </w:p>
        </w:tc>
        <w:tc>
          <w:tcPr>
            <w:tcW w:w="2245" w:type="dxa"/>
          </w:tcPr>
          <w:p w14:paraId="3BFD348D" w14:textId="77777777" w:rsidR="00DC6A1F" w:rsidRDefault="009C15A6">
            <w:pPr>
              <w:pStyle w:val="CellColumn"/>
            </w:pPr>
            <w:r>
              <w:rPr>
                <w:rFonts w:cs="Times New Roman"/>
              </w:rPr>
              <w:t>Uklanjanjem zgrada koje su tako uništene i oštećene da predstavljaju opasnost za život ljudi i druge građevine ubrzavaju se procesi obnove nakon katastrofa.</w:t>
            </w:r>
          </w:p>
        </w:tc>
        <w:tc>
          <w:tcPr>
            <w:tcW w:w="918" w:type="dxa"/>
          </w:tcPr>
          <w:p w14:paraId="7BD5CD00" w14:textId="77777777" w:rsidR="00DC6A1F" w:rsidRDefault="009C15A6">
            <w:pPr>
              <w:pStyle w:val="CellColumn"/>
            </w:pPr>
            <w:r>
              <w:rPr>
                <w:rFonts w:cs="Times New Roman"/>
              </w:rPr>
              <w:t>Broj godišnje</w:t>
            </w:r>
          </w:p>
        </w:tc>
        <w:tc>
          <w:tcPr>
            <w:tcW w:w="918" w:type="dxa"/>
          </w:tcPr>
          <w:p w14:paraId="542679A7" w14:textId="77777777" w:rsidR="00DC6A1F" w:rsidRDefault="009C15A6">
            <w:pPr>
              <w:pStyle w:val="CellColumn"/>
            </w:pPr>
            <w:r>
              <w:rPr>
                <w:rFonts w:cs="Times New Roman"/>
              </w:rPr>
              <w:t xml:space="preserve">76 </w:t>
            </w:r>
          </w:p>
          <w:p w14:paraId="6315D0DC" w14:textId="77777777" w:rsidR="00DC6A1F" w:rsidRDefault="009C15A6">
            <w:pPr>
              <w:pStyle w:val="CellColumn"/>
            </w:pPr>
            <w:r>
              <w:rPr>
                <w:rFonts w:cs="Times New Roman"/>
              </w:rPr>
              <w:t>(589 kumulativno od 2021)</w:t>
            </w:r>
          </w:p>
        </w:tc>
        <w:tc>
          <w:tcPr>
            <w:tcW w:w="918" w:type="dxa"/>
          </w:tcPr>
          <w:p w14:paraId="56FA75EA" w14:textId="77777777" w:rsidR="00DC6A1F" w:rsidRDefault="009C15A6">
            <w:pPr>
              <w:pStyle w:val="CellColumn"/>
            </w:pPr>
            <w:r>
              <w:rPr>
                <w:rFonts w:cs="Times New Roman"/>
              </w:rPr>
              <w:t>DIRH</w:t>
            </w:r>
          </w:p>
        </w:tc>
        <w:tc>
          <w:tcPr>
            <w:tcW w:w="918" w:type="dxa"/>
          </w:tcPr>
          <w:p w14:paraId="618A84B9" w14:textId="77777777" w:rsidR="00DC6A1F" w:rsidRDefault="009C15A6">
            <w:pPr>
              <w:pStyle w:val="CellColumn"/>
            </w:pPr>
            <w:r>
              <w:rPr>
                <w:rFonts w:cs="Times New Roman"/>
              </w:rPr>
              <w:t>60</w:t>
            </w:r>
          </w:p>
        </w:tc>
        <w:tc>
          <w:tcPr>
            <w:tcW w:w="918" w:type="dxa"/>
          </w:tcPr>
          <w:p w14:paraId="1A128A92" w14:textId="77777777" w:rsidR="00DC6A1F" w:rsidRDefault="009C15A6">
            <w:pPr>
              <w:pStyle w:val="CellColumn"/>
            </w:pPr>
            <w:r>
              <w:rPr>
                <w:rFonts w:cs="Times New Roman"/>
              </w:rPr>
              <w:t>50</w:t>
            </w:r>
          </w:p>
        </w:tc>
        <w:tc>
          <w:tcPr>
            <w:tcW w:w="918" w:type="dxa"/>
          </w:tcPr>
          <w:p w14:paraId="545AC2F4" w14:textId="77777777" w:rsidR="00DC6A1F" w:rsidRDefault="009C15A6">
            <w:pPr>
              <w:pStyle w:val="CellColumn"/>
            </w:pPr>
            <w:r>
              <w:rPr>
                <w:rFonts w:cs="Times New Roman"/>
              </w:rPr>
              <w:t>50</w:t>
            </w:r>
          </w:p>
        </w:tc>
      </w:tr>
    </w:tbl>
    <w:p w14:paraId="4BF1F85D" w14:textId="77777777" w:rsidR="00DC6A1F" w:rsidRDefault="00DC6A1F">
      <w:pPr>
        <w:jc w:val="left"/>
      </w:pPr>
    </w:p>
    <w:p w14:paraId="1CD1EDD7" w14:textId="77777777" w:rsidR="00DC6A1F" w:rsidRDefault="009C15A6">
      <w:pPr>
        <w:pStyle w:val="Naslov4"/>
      </w:pPr>
      <w:r>
        <w:t>A673018 ADMINISTRACIJA I UPRAVLJANJE</w:t>
      </w:r>
    </w:p>
    <w:p w14:paraId="3C9E13B8" w14:textId="77777777" w:rsidR="00DC6A1F" w:rsidRDefault="009C15A6">
      <w:pPr>
        <w:pStyle w:val="Naslov8"/>
        <w:jc w:val="left"/>
      </w:pPr>
      <w:r>
        <w:t>Zakonske i druge pravne osnove</w:t>
      </w:r>
    </w:p>
    <w:p w14:paraId="17673FAE" w14:textId="77777777" w:rsidR="00DC6A1F" w:rsidRDefault="009C15A6">
      <w:pPr>
        <w:pStyle w:val="Normal5"/>
      </w:pPr>
      <w:r>
        <w:t xml:space="preserve">-Kolektivni ugovor za državne službenike i namještenike </w:t>
      </w:r>
    </w:p>
    <w:p w14:paraId="6F02B4C6" w14:textId="77777777" w:rsidR="00DC6A1F" w:rsidRDefault="009C15A6">
      <w:pPr>
        <w:pStyle w:val="Normal5"/>
      </w:pPr>
      <w:r>
        <w:t xml:space="preserve">-Zakon o javnoj nabavi </w:t>
      </w:r>
    </w:p>
    <w:p w14:paraId="55DE0378" w14:textId="77777777" w:rsidR="00DC6A1F" w:rsidRDefault="009C15A6">
      <w:pPr>
        <w:pStyle w:val="Normal5"/>
      </w:pPr>
      <w:r>
        <w:t>-Zakon o proračunu</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DC6A1F" w14:paraId="7533A9B5" w14:textId="77777777">
        <w:trPr>
          <w:jc w:val="center"/>
        </w:trPr>
        <w:tc>
          <w:tcPr>
            <w:tcW w:w="1530" w:type="dxa"/>
            <w:shd w:val="clear" w:color="auto" w:fill="B5C0D8"/>
          </w:tcPr>
          <w:p w14:paraId="4137F008" w14:textId="77777777" w:rsidR="00DC6A1F" w:rsidRDefault="009C15A6">
            <w:pPr>
              <w:pStyle w:val="CellHeader"/>
            </w:pPr>
            <w:r>
              <w:rPr>
                <w:rFonts w:cs="Times New Roman"/>
              </w:rPr>
              <w:lastRenderedPageBreak/>
              <w:t>Naziv aktivnosti</w:t>
            </w:r>
          </w:p>
        </w:tc>
        <w:tc>
          <w:tcPr>
            <w:tcW w:w="1632" w:type="dxa"/>
            <w:shd w:val="clear" w:color="auto" w:fill="B5C0D8"/>
          </w:tcPr>
          <w:p w14:paraId="1A0029CB" w14:textId="77777777" w:rsidR="00DC6A1F" w:rsidRDefault="009C15A6">
            <w:pPr>
              <w:pStyle w:val="CellHeader"/>
            </w:pPr>
            <w:r>
              <w:rPr>
                <w:rFonts w:cs="Times New Roman"/>
              </w:rPr>
              <w:t>Izvršenje 2024. (eur)</w:t>
            </w:r>
          </w:p>
        </w:tc>
        <w:tc>
          <w:tcPr>
            <w:tcW w:w="1632" w:type="dxa"/>
            <w:shd w:val="clear" w:color="auto" w:fill="B5C0D8"/>
          </w:tcPr>
          <w:p w14:paraId="134FFDC8" w14:textId="77777777" w:rsidR="00DC6A1F" w:rsidRDefault="009C15A6">
            <w:pPr>
              <w:pStyle w:val="CellHeader"/>
            </w:pPr>
            <w:r>
              <w:rPr>
                <w:rFonts w:cs="Times New Roman"/>
              </w:rPr>
              <w:t>Plan 2025. (eur)</w:t>
            </w:r>
          </w:p>
        </w:tc>
        <w:tc>
          <w:tcPr>
            <w:tcW w:w="1632" w:type="dxa"/>
            <w:shd w:val="clear" w:color="auto" w:fill="B5C0D8"/>
          </w:tcPr>
          <w:p w14:paraId="7EC79B7F" w14:textId="77777777" w:rsidR="00DC6A1F" w:rsidRDefault="009C15A6">
            <w:pPr>
              <w:pStyle w:val="CellHeader"/>
            </w:pPr>
            <w:r>
              <w:rPr>
                <w:rFonts w:cs="Times New Roman"/>
              </w:rPr>
              <w:t>Plan 2026. (eur)</w:t>
            </w:r>
          </w:p>
        </w:tc>
        <w:tc>
          <w:tcPr>
            <w:tcW w:w="1632" w:type="dxa"/>
            <w:shd w:val="clear" w:color="auto" w:fill="B5C0D8"/>
          </w:tcPr>
          <w:p w14:paraId="4AA56008" w14:textId="77777777" w:rsidR="00DC6A1F" w:rsidRDefault="009C15A6">
            <w:pPr>
              <w:pStyle w:val="CellHeader"/>
            </w:pPr>
            <w:r>
              <w:rPr>
                <w:rFonts w:cs="Times New Roman"/>
              </w:rPr>
              <w:t>Plan 2027. (eur)</w:t>
            </w:r>
          </w:p>
        </w:tc>
        <w:tc>
          <w:tcPr>
            <w:tcW w:w="1632" w:type="dxa"/>
            <w:shd w:val="clear" w:color="auto" w:fill="B5C0D8"/>
          </w:tcPr>
          <w:p w14:paraId="4561E75A" w14:textId="77777777" w:rsidR="00DC6A1F" w:rsidRDefault="009C15A6">
            <w:pPr>
              <w:pStyle w:val="CellHeader"/>
            </w:pPr>
            <w:r>
              <w:rPr>
                <w:rFonts w:cs="Times New Roman"/>
              </w:rPr>
              <w:t>Plan 2028. (eur)</w:t>
            </w:r>
          </w:p>
        </w:tc>
        <w:tc>
          <w:tcPr>
            <w:tcW w:w="510" w:type="dxa"/>
            <w:shd w:val="clear" w:color="auto" w:fill="B5C0D8"/>
          </w:tcPr>
          <w:p w14:paraId="57F5365E" w14:textId="77777777" w:rsidR="00DC6A1F" w:rsidRDefault="009C15A6">
            <w:pPr>
              <w:pStyle w:val="CellHeader"/>
            </w:pPr>
            <w:r>
              <w:rPr>
                <w:rFonts w:cs="Times New Roman"/>
              </w:rPr>
              <w:t>Indeks 2026/2025</w:t>
            </w:r>
          </w:p>
        </w:tc>
      </w:tr>
      <w:tr w:rsidR="00DC6A1F" w14:paraId="597DA9BC" w14:textId="77777777">
        <w:trPr>
          <w:jc w:val="center"/>
        </w:trPr>
        <w:tc>
          <w:tcPr>
            <w:tcW w:w="1530" w:type="dxa"/>
          </w:tcPr>
          <w:p w14:paraId="5A0284BB" w14:textId="77777777" w:rsidR="00DC6A1F" w:rsidRDefault="009C15A6">
            <w:pPr>
              <w:pStyle w:val="CellColumn"/>
            </w:pPr>
            <w:r>
              <w:rPr>
                <w:rFonts w:cs="Times New Roman"/>
              </w:rPr>
              <w:t>A673018-ADMINISTRACIJA I UPRAVLJANJE</w:t>
            </w:r>
          </w:p>
        </w:tc>
        <w:tc>
          <w:tcPr>
            <w:tcW w:w="1632" w:type="dxa"/>
          </w:tcPr>
          <w:p w14:paraId="2DAADD11" w14:textId="77777777" w:rsidR="00DC6A1F" w:rsidRDefault="009C15A6">
            <w:pPr>
              <w:pStyle w:val="CellColumn"/>
            </w:pPr>
            <w:r>
              <w:rPr>
                <w:rFonts w:cs="Times New Roman"/>
              </w:rPr>
              <w:t>54.130.850</w:t>
            </w:r>
          </w:p>
        </w:tc>
        <w:tc>
          <w:tcPr>
            <w:tcW w:w="1632" w:type="dxa"/>
          </w:tcPr>
          <w:p w14:paraId="0EEF9492" w14:textId="77777777" w:rsidR="00DC6A1F" w:rsidRDefault="009C15A6">
            <w:pPr>
              <w:pStyle w:val="CellColumn"/>
            </w:pPr>
            <w:r>
              <w:rPr>
                <w:rFonts w:cs="Times New Roman"/>
              </w:rPr>
              <w:t>57.397.096</w:t>
            </w:r>
          </w:p>
        </w:tc>
        <w:tc>
          <w:tcPr>
            <w:tcW w:w="1632" w:type="dxa"/>
          </w:tcPr>
          <w:p w14:paraId="18234BC8" w14:textId="77777777" w:rsidR="00DC6A1F" w:rsidRDefault="009C15A6">
            <w:pPr>
              <w:pStyle w:val="CellColumn"/>
            </w:pPr>
            <w:r>
              <w:rPr>
                <w:rFonts w:cs="Times New Roman"/>
              </w:rPr>
              <w:t>59.432.001</w:t>
            </w:r>
          </w:p>
        </w:tc>
        <w:tc>
          <w:tcPr>
            <w:tcW w:w="1632" w:type="dxa"/>
          </w:tcPr>
          <w:p w14:paraId="1D1EE79D" w14:textId="77777777" w:rsidR="00DC6A1F" w:rsidRDefault="009C15A6">
            <w:pPr>
              <w:pStyle w:val="CellColumn"/>
            </w:pPr>
            <w:r>
              <w:rPr>
                <w:rFonts w:cs="Times New Roman"/>
              </w:rPr>
              <w:t>64.768.995</w:t>
            </w:r>
          </w:p>
        </w:tc>
        <w:tc>
          <w:tcPr>
            <w:tcW w:w="1632" w:type="dxa"/>
          </w:tcPr>
          <w:p w14:paraId="45A82F1A" w14:textId="77777777" w:rsidR="00DC6A1F" w:rsidRDefault="009C15A6">
            <w:pPr>
              <w:pStyle w:val="CellColumn"/>
            </w:pPr>
            <w:r>
              <w:rPr>
                <w:rFonts w:cs="Times New Roman"/>
              </w:rPr>
              <w:t>65.087.339</w:t>
            </w:r>
          </w:p>
        </w:tc>
        <w:tc>
          <w:tcPr>
            <w:tcW w:w="510" w:type="dxa"/>
          </w:tcPr>
          <w:p w14:paraId="6023D3B5" w14:textId="77777777" w:rsidR="00DC6A1F" w:rsidRDefault="009C15A6">
            <w:pPr>
              <w:pStyle w:val="CellColumn"/>
            </w:pPr>
            <w:r>
              <w:rPr>
                <w:rFonts w:cs="Times New Roman"/>
              </w:rPr>
              <w:t>103,5</w:t>
            </w:r>
          </w:p>
        </w:tc>
      </w:tr>
    </w:tbl>
    <w:p w14:paraId="44E5691D" w14:textId="77777777" w:rsidR="00DC6A1F" w:rsidRDefault="00DC6A1F">
      <w:pPr>
        <w:jc w:val="left"/>
      </w:pPr>
    </w:p>
    <w:p w14:paraId="2FFE52E1" w14:textId="77777777" w:rsidR="00DC6A1F" w:rsidRDefault="009C15A6">
      <w:r>
        <w:t>Sredstva ove aktivnosti namijenjena su za financiranje svih stručnih i administrativnih poslova radi nesmetanog, racionalnog i uspješnog obavljanja djelatnosti Državnog inspektorata. Državni inspektorat osim Središnjeg ureda ima i 5 područnih ureda te 37 Ispostava i lokacije samostalnih izvršitelja, carinska mjesta i granične postaje. Područni uredi su: Područni ured Zagreb, Područni ured Split, Područni ured Rijeka, Područni ured Varaždin i Područni ured Osijek. Za sve navedene lokacije potrebno je osigura</w:t>
      </w:r>
      <w:r>
        <w:t xml:space="preserve">ti novčana sredstava za podmirenje režijskih troškova. Sredstva se koriste za poduzimanje mjera za osiguranje učinkovitosti u radu cijelog Inspektorata te usklađenje rada unutarnjih ustrojstvenih jedinica Inspektorata. </w:t>
      </w:r>
    </w:p>
    <w:p w14:paraId="4ABE574E" w14:textId="77777777" w:rsidR="00DC6A1F" w:rsidRDefault="009C15A6">
      <w:r>
        <w:t xml:space="preserve"> </w:t>
      </w:r>
    </w:p>
    <w:p w14:paraId="032835D0" w14:textId="77777777" w:rsidR="00DC6A1F" w:rsidRDefault="009C15A6">
      <w:r>
        <w:t>Na sredstva za rashode za zaposlene u 2026. godini odnosi se 83,73 % (49.760.061 EUR-a) sredstava ove aktivnosti dok se na materijalne rashode, financijske rashode i rashod za donacije, kazne, naknade šteta i kapitalne pomoći odnosi 16,27 % (9.671.940 EUR-a). U 2027. godini za rashode za zaposlene planirano je 83,67 % (54.195.055 EUR-a), a u 2028. godini 83,33 % (54.240.918 EUR-a).</w:t>
      </w:r>
    </w:p>
    <w:p w14:paraId="38A5244F" w14:textId="77777777" w:rsidR="00DC6A1F" w:rsidRDefault="009C15A6">
      <w:pPr>
        <w:pStyle w:val="Naslov4"/>
      </w:pPr>
      <w:r>
        <w:t>A673020 NADZOR SASTAVNICA OKOLIŠA</w:t>
      </w:r>
    </w:p>
    <w:p w14:paraId="326EC9F0" w14:textId="77777777" w:rsidR="00DC6A1F" w:rsidRDefault="009C15A6">
      <w:pPr>
        <w:pStyle w:val="Naslov8"/>
        <w:jc w:val="left"/>
      </w:pPr>
      <w:r>
        <w:t>Zakonske i druge pravne osnove</w:t>
      </w:r>
    </w:p>
    <w:p w14:paraId="5F45C17F" w14:textId="77777777" w:rsidR="00DC6A1F" w:rsidRDefault="009C15A6">
      <w:pPr>
        <w:pStyle w:val="Normal5"/>
      </w:pPr>
      <w:r>
        <w:t>Zakon o zaštiti okoliša, Zakon o zaštiti zraka, Zakon o klimatskim promjenama i zaštiti ozonskog sloja, Zakon o gospodarenju otpadom, Zakon o zaštiti od svjetlosnog onečišćenja, Uredba (EZ) br. 2024/1157 o pošiljkama otpada, izmjeni uredbi (EU) br. 1257/2013 i (EU) 2020/1056 te stavljanju izvan snage Uredbe (EZ) br. 1013/2006, Zakon o meteorološkoj i hidrološkoj djelatnosti, Zakon o provedbi Uredbe (EU) br. 1257/2013 Europskog parlamenta i Vijeća od 20. studenoga 2013. o recikliranju brodova i o izmjeni Ure</w:t>
      </w:r>
      <w:r>
        <w:t>dbe (EZ) br. 1013/2006 i Direktive 2009/16/EZ, Zakon o provedbi Uredbe (EU) br. 2019/1021 o postojanim organskim onečišćujućim tvarima, Zakon o Fondu za zaštitu okoliša i energetsku učinkovitost  te tehnički i drugi propisi doneseni na temelju navedenih zakona</w:t>
      </w:r>
    </w:p>
    <w:tbl>
      <w:tblPr>
        <w:tblStyle w:val="StilTablice"/>
        <w:tblW w:w="10206" w:type="dxa"/>
        <w:jc w:val="center"/>
        <w:tblLook w:val="04A0" w:firstRow="1" w:lastRow="0" w:firstColumn="1" w:lastColumn="0" w:noHBand="0" w:noVBand="1"/>
      </w:tblPr>
      <w:tblGrid>
        <w:gridCol w:w="1513"/>
        <w:gridCol w:w="1539"/>
        <w:gridCol w:w="1546"/>
        <w:gridCol w:w="1546"/>
        <w:gridCol w:w="1546"/>
        <w:gridCol w:w="1546"/>
        <w:gridCol w:w="970"/>
      </w:tblGrid>
      <w:tr w:rsidR="00DC6A1F" w14:paraId="041B512B" w14:textId="77777777">
        <w:trPr>
          <w:jc w:val="center"/>
        </w:trPr>
        <w:tc>
          <w:tcPr>
            <w:tcW w:w="1530" w:type="dxa"/>
            <w:shd w:val="clear" w:color="auto" w:fill="B5C0D8"/>
          </w:tcPr>
          <w:p w14:paraId="121CFFA7" w14:textId="77777777" w:rsidR="00DC6A1F" w:rsidRDefault="009C15A6">
            <w:pPr>
              <w:pStyle w:val="CellHeader"/>
            </w:pPr>
            <w:r>
              <w:rPr>
                <w:rFonts w:cs="Times New Roman"/>
              </w:rPr>
              <w:t>Naziv aktivnosti</w:t>
            </w:r>
          </w:p>
        </w:tc>
        <w:tc>
          <w:tcPr>
            <w:tcW w:w="1632" w:type="dxa"/>
            <w:shd w:val="clear" w:color="auto" w:fill="B5C0D8"/>
          </w:tcPr>
          <w:p w14:paraId="7D886D53" w14:textId="77777777" w:rsidR="00DC6A1F" w:rsidRDefault="009C15A6">
            <w:pPr>
              <w:pStyle w:val="CellHeader"/>
            </w:pPr>
            <w:r>
              <w:rPr>
                <w:rFonts w:cs="Times New Roman"/>
              </w:rPr>
              <w:t>Izvršenje 2024. (eur)</w:t>
            </w:r>
          </w:p>
        </w:tc>
        <w:tc>
          <w:tcPr>
            <w:tcW w:w="1632" w:type="dxa"/>
            <w:shd w:val="clear" w:color="auto" w:fill="B5C0D8"/>
          </w:tcPr>
          <w:p w14:paraId="75D70A2D" w14:textId="77777777" w:rsidR="00DC6A1F" w:rsidRDefault="009C15A6">
            <w:pPr>
              <w:pStyle w:val="CellHeader"/>
            </w:pPr>
            <w:r>
              <w:rPr>
                <w:rFonts w:cs="Times New Roman"/>
              </w:rPr>
              <w:t>Plan 2025. (eur)</w:t>
            </w:r>
          </w:p>
        </w:tc>
        <w:tc>
          <w:tcPr>
            <w:tcW w:w="1632" w:type="dxa"/>
            <w:shd w:val="clear" w:color="auto" w:fill="B5C0D8"/>
          </w:tcPr>
          <w:p w14:paraId="55AE5875" w14:textId="77777777" w:rsidR="00DC6A1F" w:rsidRDefault="009C15A6">
            <w:pPr>
              <w:pStyle w:val="CellHeader"/>
            </w:pPr>
            <w:r>
              <w:rPr>
                <w:rFonts w:cs="Times New Roman"/>
              </w:rPr>
              <w:t>Plan 2026. (eur)</w:t>
            </w:r>
          </w:p>
        </w:tc>
        <w:tc>
          <w:tcPr>
            <w:tcW w:w="1632" w:type="dxa"/>
            <w:shd w:val="clear" w:color="auto" w:fill="B5C0D8"/>
          </w:tcPr>
          <w:p w14:paraId="1C8460F0" w14:textId="77777777" w:rsidR="00DC6A1F" w:rsidRDefault="009C15A6">
            <w:pPr>
              <w:pStyle w:val="CellHeader"/>
            </w:pPr>
            <w:r>
              <w:rPr>
                <w:rFonts w:cs="Times New Roman"/>
              </w:rPr>
              <w:t>Plan 2027. (eur)</w:t>
            </w:r>
          </w:p>
        </w:tc>
        <w:tc>
          <w:tcPr>
            <w:tcW w:w="1632" w:type="dxa"/>
            <w:shd w:val="clear" w:color="auto" w:fill="B5C0D8"/>
          </w:tcPr>
          <w:p w14:paraId="1D87A843" w14:textId="77777777" w:rsidR="00DC6A1F" w:rsidRDefault="009C15A6">
            <w:pPr>
              <w:pStyle w:val="CellHeader"/>
            </w:pPr>
            <w:r>
              <w:rPr>
                <w:rFonts w:cs="Times New Roman"/>
              </w:rPr>
              <w:t>Plan 2028. (eur)</w:t>
            </w:r>
          </w:p>
        </w:tc>
        <w:tc>
          <w:tcPr>
            <w:tcW w:w="510" w:type="dxa"/>
            <w:shd w:val="clear" w:color="auto" w:fill="B5C0D8"/>
          </w:tcPr>
          <w:p w14:paraId="784EDA58" w14:textId="77777777" w:rsidR="00DC6A1F" w:rsidRDefault="009C15A6">
            <w:pPr>
              <w:pStyle w:val="CellHeader"/>
            </w:pPr>
            <w:r>
              <w:rPr>
                <w:rFonts w:cs="Times New Roman"/>
              </w:rPr>
              <w:t>Indeks 2026/2025</w:t>
            </w:r>
          </w:p>
        </w:tc>
      </w:tr>
      <w:tr w:rsidR="00DC6A1F" w14:paraId="790A9DBA" w14:textId="77777777">
        <w:trPr>
          <w:jc w:val="center"/>
        </w:trPr>
        <w:tc>
          <w:tcPr>
            <w:tcW w:w="1530" w:type="dxa"/>
          </w:tcPr>
          <w:p w14:paraId="27058104" w14:textId="77777777" w:rsidR="00DC6A1F" w:rsidRDefault="009C15A6">
            <w:pPr>
              <w:pStyle w:val="CellColumn"/>
            </w:pPr>
            <w:r>
              <w:rPr>
                <w:rFonts w:cs="Times New Roman"/>
              </w:rPr>
              <w:t>A673020-NADZOR SASTAVNICA OKOLIŠA</w:t>
            </w:r>
          </w:p>
        </w:tc>
        <w:tc>
          <w:tcPr>
            <w:tcW w:w="1632" w:type="dxa"/>
          </w:tcPr>
          <w:p w14:paraId="1933383E" w14:textId="77777777" w:rsidR="00DC6A1F" w:rsidRDefault="009C15A6">
            <w:pPr>
              <w:pStyle w:val="CellColumn"/>
            </w:pPr>
            <w:r>
              <w:rPr>
                <w:rFonts w:cs="Times New Roman"/>
              </w:rPr>
              <w:t>70.609</w:t>
            </w:r>
          </w:p>
        </w:tc>
        <w:tc>
          <w:tcPr>
            <w:tcW w:w="1632" w:type="dxa"/>
          </w:tcPr>
          <w:p w14:paraId="5D01686E" w14:textId="77777777" w:rsidR="00DC6A1F" w:rsidRDefault="009C15A6">
            <w:pPr>
              <w:pStyle w:val="CellColumn"/>
            </w:pPr>
            <w:r>
              <w:rPr>
                <w:rFonts w:cs="Times New Roman"/>
              </w:rPr>
              <w:t>1.275.700</w:t>
            </w:r>
          </w:p>
        </w:tc>
        <w:tc>
          <w:tcPr>
            <w:tcW w:w="1632" w:type="dxa"/>
          </w:tcPr>
          <w:p w14:paraId="1A102FDC" w14:textId="77777777" w:rsidR="00DC6A1F" w:rsidRDefault="009C15A6">
            <w:pPr>
              <w:pStyle w:val="CellColumn"/>
            </w:pPr>
            <w:r>
              <w:rPr>
                <w:rFonts w:cs="Times New Roman"/>
              </w:rPr>
              <w:t>3.608.309</w:t>
            </w:r>
          </w:p>
        </w:tc>
        <w:tc>
          <w:tcPr>
            <w:tcW w:w="1632" w:type="dxa"/>
          </w:tcPr>
          <w:p w14:paraId="7A08D3F9" w14:textId="77777777" w:rsidR="00DC6A1F" w:rsidRDefault="009C15A6">
            <w:pPr>
              <w:pStyle w:val="CellColumn"/>
            </w:pPr>
            <w:r>
              <w:rPr>
                <w:rFonts w:cs="Times New Roman"/>
              </w:rPr>
              <w:t>2.355.624</w:t>
            </w:r>
          </w:p>
        </w:tc>
        <w:tc>
          <w:tcPr>
            <w:tcW w:w="1632" w:type="dxa"/>
          </w:tcPr>
          <w:p w14:paraId="3FB8FB7B" w14:textId="77777777" w:rsidR="00DC6A1F" w:rsidRDefault="009C15A6">
            <w:pPr>
              <w:pStyle w:val="CellColumn"/>
            </w:pPr>
            <w:r>
              <w:rPr>
                <w:rFonts w:cs="Times New Roman"/>
              </w:rPr>
              <w:t>2.108.309</w:t>
            </w:r>
          </w:p>
        </w:tc>
        <w:tc>
          <w:tcPr>
            <w:tcW w:w="510" w:type="dxa"/>
          </w:tcPr>
          <w:p w14:paraId="3694799F" w14:textId="77777777" w:rsidR="00DC6A1F" w:rsidRDefault="009C15A6">
            <w:pPr>
              <w:pStyle w:val="CellColumn"/>
            </w:pPr>
            <w:r>
              <w:rPr>
                <w:rFonts w:cs="Times New Roman"/>
              </w:rPr>
              <w:t>282,8</w:t>
            </w:r>
          </w:p>
        </w:tc>
      </w:tr>
    </w:tbl>
    <w:p w14:paraId="2751E806" w14:textId="77777777" w:rsidR="00DC6A1F" w:rsidRDefault="00DC6A1F">
      <w:pPr>
        <w:jc w:val="left"/>
      </w:pPr>
    </w:p>
    <w:p w14:paraId="0C3F06F9" w14:textId="77777777" w:rsidR="00DC6A1F" w:rsidRDefault="009C15A6">
      <w:r>
        <w:t xml:space="preserve">Sredstva s ove aktivnosti prevenstveno su predviđena za izvršenje rješenja inspekcije zaštite okoliša putem druge osobe, te vještačenja, uzorkovanja i analize otpada, tla i zraka. U sklopu ove aktivnosti sredstva su planirana i za obavljanje redovnih poslova i zadataka inspekcije zaštite okoliša, inspekcije zaštite prirode i vodopravne inspekcije s ciljem unapređenja kvalitete svih sastavnica okoliša i života građana, sprečavanja onečišćenja, štete i ozbiljnih nesreća te provedbe održivog razvoja Republike </w:t>
      </w:r>
      <w:r>
        <w:t xml:space="preserve">Hrvatske.  </w:t>
      </w:r>
    </w:p>
    <w:p w14:paraId="68FB3B4C" w14:textId="77777777" w:rsidR="00DC6A1F" w:rsidRDefault="009C15A6">
      <w:r>
        <w:t xml:space="preserve">Osnovne zadaće inspekcije zaštite okoliša su nadzor primjene regulative radi usklađenosti nadziranih osoba s okolišnom regulativom kao i poticaj njene primjene s ciljem unapređenja kvalitete okoliša i života građana te sprečavanja onečišćenja, štete i ozbiljnih nesreća.  </w:t>
      </w:r>
    </w:p>
    <w:p w14:paraId="091EBF56" w14:textId="77777777" w:rsidR="00DC6A1F" w:rsidRDefault="009C15A6">
      <w:r>
        <w:t xml:space="preserve">U svrhu ispunjavanja te zadaće, a s obzirom na broj inspektora u odnosu brojnost obveznika primjene propisa kao i njihov različit utjecaj na stanje okoliša, nužnost u radu inspekcije je određivanje prioriteta prilikom planiranja provedbe inspekcijskih nadzora, a od posebne je važnosti permanentna edukacija inspektora kako bi se ovi nadzori obavljali na učinkovit, stručan, jedinstven i integriran način.   </w:t>
      </w:r>
    </w:p>
    <w:p w14:paraId="7B9EE8DB" w14:textId="77777777" w:rsidR="00DC6A1F" w:rsidRDefault="009C15A6">
      <w:r>
        <w:t xml:space="preserve">Inspekcija zaštite okoliša u svrhu kontrole provedbe zakona iz djelokruga rada, temeljem propisanih ovlasti obavljaju specifične poslove koji, osim redovnih planiranih aktivnosti, u znatnoj mjeri ovise o trenutnim nepredvidivim zbivanjima u području zaštite okoliša (prijave građana, izvanredni događaji, velike nesreće, onečišćenja i sl.). Zbog </w:t>
      </w:r>
      <w:r>
        <w:lastRenderedPageBreak/>
        <w:t xml:space="preserve">tih je specifičnosti nužno u proračunu planirati sredstva za realizaciju inspekcijskih nadzora i daljnjih postupaka koji nakon utvrđenja povrede propisa proizlaze, posebice u slučaju onečišćenja okoliša te potrebe sanacije onečišćenog okoliša.   </w:t>
      </w:r>
    </w:p>
    <w:p w14:paraId="1A58169E" w14:textId="77777777" w:rsidR="00DC6A1F" w:rsidRDefault="009C15A6">
      <w:r>
        <w:t>Također, inspekcija zaštite okoliša ima otvorenih više upravnih postupaka u kojima je rješenjem naređeno uklanjanje otpada i koja će se morati izvršiti putem treće osobe ako izvršenik ne postupi po rješenju. Radi se o različitim vrstama i količini otpada s različitim cijenama zbrinjavanja pojedinih vrsta otpada (cijene zbrinjavanja otpada su visoke) pri čemu na navedenu cijenu utječe način i mjesto zbrinjavanja otpada.</w:t>
      </w:r>
    </w:p>
    <w:p w14:paraId="40686505" w14:textId="77777777" w:rsidR="00DC6A1F" w:rsidRDefault="009C15A6">
      <w:pPr>
        <w:pStyle w:val="Naslov8"/>
        <w:jc w:val="left"/>
      </w:pPr>
      <w:r>
        <w:t>Pokazatelji rezultata</w:t>
      </w:r>
    </w:p>
    <w:tbl>
      <w:tblPr>
        <w:tblStyle w:val="StilTablice"/>
        <w:tblW w:w="10206" w:type="dxa"/>
        <w:jc w:val="center"/>
        <w:tblLook w:val="04A0" w:firstRow="1" w:lastRow="0" w:firstColumn="1" w:lastColumn="0" w:noHBand="0" w:noVBand="1"/>
      </w:tblPr>
      <w:tblGrid>
        <w:gridCol w:w="1892"/>
        <w:gridCol w:w="1860"/>
        <w:gridCol w:w="1772"/>
        <w:gridCol w:w="917"/>
        <w:gridCol w:w="1014"/>
        <w:gridCol w:w="917"/>
        <w:gridCol w:w="917"/>
        <w:gridCol w:w="917"/>
      </w:tblGrid>
      <w:tr w:rsidR="00DC6A1F" w14:paraId="74EC2A18" w14:textId="77777777">
        <w:trPr>
          <w:jc w:val="center"/>
        </w:trPr>
        <w:tc>
          <w:tcPr>
            <w:tcW w:w="2245" w:type="dxa"/>
            <w:shd w:val="clear" w:color="auto" w:fill="B5C0D8"/>
          </w:tcPr>
          <w:p w14:paraId="7FF83E70" w14:textId="77777777" w:rsidR="00DC6A1F" w:rsidRDefault="009C15A6">
            <w:r>
              <w:t>Pokazatelj rezultata</w:t>
            </w:r>
          </w:p>
        </w:tc>
        <w:tc>
          <w:tcPr>
            <w:tcW w:w="2245" w:type="dxa"/>
            <w:shd w:val="clear" w:color="auto" w:fill="B5C0D8"/>
          </w:tcPr>
          <w:p w14:paraId="718055C8" w14:textId="77777777" w:rsidR="00DC6A1F" w:rsidRDefault="009C15A6">
            <w:pPr>
              <w:pStyle w:val="CellHeader"/>
            </w:pPr>
            <w:r>
              <w:rPr>
                <w:rFonts w:cs="Times New Roman"/>
              </w:rPr>
              <w:t>Definicija</w:t>
            </w:r>
          </w:p>
        </w:tc>
        <w:tc>
          <w:tcPr>
            <w:tcW w:w="2245" w:type="dxa"/>
            <w:shd w:val="clear" w:color="auto" w:fill="B5C0D8"/>
          </w:tcPr>
          <w:p w14:paraId="6367C6AD" w14:textId="77777777" w:rsidR="00DC6A1F" w:rsidRDefault="009C15A6">
            <w:pPr>
              <w:pStyle w:val="CellHeader"/>
            </w:pPr>
            <w:r>
              <w:rPr>
                <w:rFonts w:cs="Times New Roman"/>
              </w:rPr>
              <w:t>Jedinica</w:t>
            </w:r>
          </w:p>
        </w:tc>
        <w:tc>
          <w:tcPr>
            <w:tcW w:w="918" w:type="dxa"/>
            <w:shd w:val="clear" w:color="auto" w:fill="B5C0D8"/>
          </w:tcPr>
          <w:p w14:paraId="1F3DBFC7" w14:textId="77777777" w:rsidR="00DC6A1F" w:rsidRDefault="009C15A6">
            <w:pPr>
              <w:pStyle w:val="CellHeader"/>
            </w:pPr>
            <w:r>
              <w:rPr>
                <w:rFonts w:cs="Times New Roman"/>
              </w:rPr>
              <w:t>Polazna vrijednost</w:t>
            </w:r>
          </w:p>
        </w:tc>
        <w:tc>
          <w:tcPr>
            <w:tcW w:w="918" w:type="dxa"/>
            <w:shd w:val="clear" w:color="auto" w:fill="B5C0D8"/>
          </w:tcPr>
          <w:p w14:paraId="1EF30279" w14:textId="77777777" w:rsidR="00DC6A1F" w:rsidRDefault="009C15A6">
            <w:pPr>
              <w:pStyle w:val="CellHeader"/>
            </w:pPr>
            <w:r>
              <w:rPr>
                <w:rFonts w:cs="Times New Roman"/>
              </w:rPr>
              <w:t>Izvor podataka</w:t>
            </w:r>
          </w:p>
        </w:tc>
        <w:tc>
          <w:tcPr>
            <w:tcW w:w="918" w:type="dxa"/>
            <w:shd w:val="clear" w:color="auto" w:fill="B5C0D8"/>
          </w:tcPr>
          <w:p w14:paraId="6BB292E1" w14:textId="77777777" w:rsidR="00DC6A1F" w:rsidRDefault="009C15A6">
            <w:pPr>
              <w:pStyle w:val="CellHeader"/>
            </w:pPr>
            <w:r>
              <w:rPr>
                <w:rFonts w:cs="Times New Roman"/>
              </w:rPr>
              <w:t>Ciljana vrijednost (2026.)</w:t>
            </w:r>
          </w:p>
        </w:tc>
        <w:tc>
          <w:tcPr>
            <w:tcW w:w="918" w:type="dxa"/>
            <w:shd w:val="clear" w:color="auto" w:fill="B5C0D8"/>
          </w:tcPr>
          <w:p w14:paraId="3CB9A10C" w14:textId="77777777" w:rsidR="00DC6A1F" w:rsidRDefault="009C15A6">
            <w:pPr>
              <w:pStyle w:val="CellHeader"/>
            </w:pPr>
            <w:r>
              <w:rPr>
                <w:rFonts w:cs="Times New Roman"/>
              </w:rPr>
              <w:t>Ciljana vrijednost (2027.)</w:t>
            </w:r>
          </w:p>
        </w:tc>
        <w:tc>
          <w:tcPr>
            <w:tcW w:w="918" w:type="dxa"/>
            <w:shd w:val="clear" w:color="auto" w:fill="B5C0D8"/>
          </w:tcPr>
          <w:p w14:paraId="386424FF" w14:textId="77777777" w:rsidR="00DC6A1F" w:rsidRDefault="009C15A6">
            <w:pPr>
              <w:pStyle w:val="CellHeader"/>
            </w:pPr>
            <w:r>
              <w:rPr>
                <w:rFonts w:cs="Times New Roman"/>
              </w:rPr>
              <w:t>Ciljana vrijednost (2028.)</w:t>
            </w:r>
          </w:p>
        </w:tc>
      </w:tr>
      <w:tr w:rsidR="00DC6A1F" w14:paraId="5E4728D3" w14:textId="77777777">
        <w:trPr>
          <w:jc w:val="center"/>
        </w:trPr>
        <w:tc>
          <w:tcPr>
            <w:tcW w:w="2245" w:type="dxa"/>
          </w:tcPr>
          <w:p w14:paraId="2317C44B" w14:textId="77777777" w:rsidR="00DC6A1F" w:rsidRDefault="009C15A6">
            <w:pPr>
              <w:pStyle w:val="CellColumn"/>
            </w:pPr>
            <w:r>
              <w:rPr>
                <w:rFonts w:cs="Times New Roman"/>
              </w:rPr>
              <w:t>Broj obavljenih inspekcijskih nadzora inspektora zaštite okoliša</w:t>
            </w:r>
          </w:p>
        </w:tc>
        <w:tc>
          <w:tcPr>
            <w:tcW w:w="2245" w:type="dxa"/>
          </w:tcPr>
          <w:p w14:paraId="61D24889" w14:textId="77777777" w:rsidR="00DC6A1F" w:rsidRDefault="009C15A6">
            <w:pPr>
              <w:pStyle w:val="CellColumn"/>
            </w:pPr>
            <w:r>
              <w:rPr>
                <w:rFonts w:cs="Times New Roman"/>
              </w:rPr>
              <w:t>Provedeni inspekcijski nadzori zaštite okoliša</w:t>
            </w:r>
          </w:p>
        </w:tc>
        <w:tc>
          <w:tcPr>
            <w:tcW w:w="918" w:type="dxa"/>
          </w:tcPr>
          <w:p w14:paraId="5B35A10F" w14:textId="77777777" w:rsidR="00DC6A1F" w:rsidRDefault="009C15A6">
            <w:pPr>
              <w:pStyle w:val="CellColumn"/>
            </w:pPr>
            <w:r>
              <w:rPr>
                <w:rFonts w:cs="Times New Roman"/>
              </w:rPr>
              <w:t>Broj nadzora</w:t>
            </w:r>
          </w:p>
        </w:tc>
        <w:tc>
          <w:tcPr>
            <w:tcW w:w="918" w:type="dxa"/>
          </w:tcPr>
          <w:p w14:paraId="3370AEDE" w14:textId="77777777" w:rsidR="00DC6A1F" w:rsidRDefault="009C15A6">
            <w:pPr>
              <w:pStyle w:val="CellColumn"/>
            </w:pPr>
            <w:r>
              <w:rPr>
                <w:rFonts w:cs="Times New Roman"/>
              </w:rPr>
              <w:t>4.475</w:t>
            </w:r>
          </w:p>
        </w:tc>
        <w:tc>
          <w:tcPr>
            <w:tcW w:w="918" w:type="dxa"/>
          </w:tcPr>
          <w:p w14:paraId="04F13C24" w14:textId="77777777" w:rsidR="00DC6A1F" w:rsidRDefault="009C15A6">
            <w:pPr>
              <w:pStyle w:val="CellColumn"/>
            </w:pPr>
            <w:r>
              <w:rPr>
                <w:rFonts w:cs="Times New Roman"/>
              </w:rPr>
              <w:t>Godišnje izvješće o radu inspekcije zaštite okoliša</w:t>
            </w:r>
          </w:p>
        </w:tc>
        <w:tc>
          <w:tcPr>
            <w:tcW w:w="918" w:type="dxa"/>
          </w:tcPr>
          <w:p w14:paraId="359CDB1D" w14:textId="77777777" w:rsidR="00DC6A1F" w:rsidRDefault="009C15A6">
            <w:pPr>
              <w:pStyle w:val="CellColumn"/>
            </w:pPr>
            <w:r>
              <w:rPr>
                <w:rFonts w:cs="Times New Roman"/>
              </w:rPr>
              <w:t>4700</w:t>
            </w:r>
          </w:p>
        </w:tc>
        <w:tc>
          <w:tcPr>
            <w:tcW w:w="918" w:type="dxa"/>
          </w:tcPr>
          <w:p w14:paraId="5D8EBD8D" w14:textId="77777777" w:rsidR="00DC6A1F" w:rsidRDefault="009C15A6">
            <w:pPr>
              <w:pStyle w:val="CellColumn"/>
            </w:pPr>
            <w:r>
              <w:rPr>
                <w:rFonts w:cs="Times New Roman"/>
              </w:rPr>
              <w:t>4800</w:t>
            </w:r>
          </w:p>
        </w:tc>
        <w:tc>
          <w:tcPr>
            <w:tcW w:w="918" w:type="dxa"/>
          </w:tcPr>
          <w:p w14:paraId="480AB824" w14:textId="77777777" w:rsidR="00DC6A1F" w:rsidRDefault="009C15A6">
            <w:pPr>
              <w:pStyle w:val="CellColumn"/>
            </w:pPr>
            <w:r>
              <w:rPr>
                <w:rFonts w:cs="Times New Roman"/>
              </w:rPr>
              <w:t>4900</w:t>
            </w:r>
          </w:p>
        </w:tc>
      </w:tr>
      <w:tr w:rsidR="00DC6A1F" w14:paraId="2E6335F4" w14:textId="77777777">
        <w:trPr>
          <w:jc w:val="center"/>
        </w:trPr>
        <w:tc>
          <w:tcPr>
            <w:tcW w:w="2245" w:type="dxa"/>
          </w:tcPr>
          <w:p w14:paraId="6AF60822" w14:textId="77777777" w:rsidR="00DC6A1F" w:rsidRDefault="009C15A6">
            <w:pPr>
              <w:pStyle w:val="CellColumn"/>
            </w:pPr>
            <w:r>
              <w:rPr>
                <w:rFonts w:cs="Times New Roman"/>
              </w:rPr>
              <w:t>Izrađena izvješća o radu</w:t>
            </w:r>
          </w:p>
        </w:tc>
        <w:tc>
          <w:tcPr>
            <w:tcW w:w="2245" w:type="dxa"/>
          </w:tcPr>
          <w:p w14:paraId="7BA2E640" w14:textId="77777777" w:rsidR="00DC6A1F" w:rsidRDefault="009C15A6">
            <w:pPr>
              <w:pStyle w:val="CellColumn"/>
            </w:pPr>
            <w:r>
              <w:rPr>
                <w:rFonts w:cs="Times New Roman"/>
              </w:rPr>
              <w:t>Izrađena izvješća o radu inspekcije zaštite okoliša</w:t>
            </w:r>
          </w:p>
        </w:tc>
        <w:tc>
          <w:tcPr>
            <w:tcW w:w="918" w:type="dxa"/>
          </w:tcPr>
          <w:p w14:paraId="336826A7" w14:textId="77777777" w:rsidR="00DC6A1F" w:rsidRDefault="009C15A6">
            <w:pPr>
              <w:pStyle w:val="CellColumn"/>
            </w:pPr>
            <w:r>
              <w:rPr>
                <w:rFonts w:cs="Times New Roman"/>
              </w:rPr>
              <w:t>Postotak</w:t>
            </w:r>
          </w:p>
        </w:tc>
        <w:tc>
          <w:tcPr>
            <w:tcW w:w="918" w:type="dxa"/>
          </w:tcPr>
          <w:p w14:paraId="3D9FA2D2" w14:textId="77777777" w:rsidR="00DC6A1F" w:rsidRDefault="009C15A6">
            <w:pPr>
              <w:pStyle w:val="CellColumn"/>
            </w:pPr>
            <w:r>
              <w:rPr>
                <w:rFonts w:cs="Times New Roman"/>
              </w:rPr>
              <w:t>100</w:t>
            </w:r>
          </w:p>
        </w:tc>
        <w:tc>
          <w:tcPr>
            <w:tcW w:w="918" w:type="dxa"/>
          </w:tcPr>
          <w:p w14:paraId="30361713" w14:textId="77777777" w:rsidR="00DC6A1F" w:rsidRDefault="009C15A6">
            <w:pPr>
              <w:pStyle w:val="CellColumn"/>
            </w:pPr>
            <w:r>
              <w:rPr>
                <w:rFonts w:cs="Times New Roman"/>
              </w:rPr>
              <w:t>Inspekcija zaštite okoliša u Središnjem uredu</w:t>
            </w:r>
          </w:p>
        </w:tc>
        <w:tc>
          <w:tcPr>
            <w:tcW w:w="918" w:type="dxa"/>
          </w:tcPr>
          <w:p w14:paraId="26200401" w14:textId="77777777" w:rsidR="00DC6A1F" w:rsidRDefault="009C15A6">
            <w:pPr>
              <w:pStyle w:val="CellColumn"/>
            </w:pPr>
            <w:r>
              <w:rPr>
                <w:rFonts w:cs="Times New Roman"/>
              </w:rPr>
              <w:t>100</w:t>
            </w:r>
          </w:p>
        </w:tc>
        <w:tc>
          <w:tcPr>
            <w:tcW w:w="918" w:type="dxa"/>
          </w:tcPr>
          <w:p w14:paraId="35465482" w14:textId="77777777" w:rsidR="00DC6A1F" w:rsidRDefault="009C15A6">
            <w:pPr>
              <w:pStyle w:val="CellColumn"/>
            </w:pPr>
            <w:r>
              <w:rPr>
                <w:rFonts w:cs="Times New Roman"/>
              </w:rPr>
              <w:t>100</w:t>
            </w:r>
          </w:p>
        </w:tc>
        <w:tc>
          <w:tcPr>
            <w:tcW w:w="918" w:type="dxa"/>
          </w:tcPr>
          <w:p w14:paraId="6624D744" w14:textId="77777777" w:rsidR="00DC6A1F" w:rsidRDefault="009C15A6">
            <w:pPr>
              <w:pStyle w:val="CellColumn"/>
            </w:pPr>
            <w:r>
              <w:rPr>
                <w:rFonts w:cs="Times New Roman"/>
              </w:rPr>
              <w:t>100</w:t>
            </w:r>
          </w:p>
        </w:tc>
      </w:tr>
    </w:tbl>
    <w:p w14:paraId="2F199AD9" w14:textId="77777777" w:rsidR="00DC6A1F" w:rsidRDefault="00DC6A1F">
      <w:pPr>
        <w:jc w:val="left"/>
      </w:pPr>
    </w:p>
    <w:p w14:paraId="04563C12" w14:textId="77777777" w:rsidR="00DC6A1F" w:rsidRDefault="009C15A6">
      <w:pPr>
        <w:pStyle w:val="Naslov4"/>
      </w:pPr>
      <w:r>
        <w:t>A673021 NADZOR SIGURNOSTI PROIZVODA</w:t>
      </w:r>
    </w:p>
    <w:p w14:paraId="7B4B2BB8" w14:textId="77777777" w:rsidR="00DC6A1F" w:rsidRDefault="009C15A6">
      <w:pPr>
        <w:pStyle w:val="Naslov8"/>
        <w:jc w:val="left"/>
      </w:pPr>
      <w:r>
        <w:t>Zakonske i druge pravne osnove</w:t>
      </w:r>
    </w:p>
    <w:p w14:paraId="0DD91FFE" w14:textId="77777777" w:rsidR="00DC6A1F" w:rsidRDefault="009C15A6">
      <w:pPr>
        <w:pStyle w:val="Normal5"/>
      </w:pPr>
      <w:r>
        <w:t xml:space="preserve">-Zakon o tehničkim zahtjevima za proizvode i ocjenjivanju sukladnosti    </w:t>
      </w:r>
    </w:p>
    <w:p w14:paraId="5DAD0759" w14:textId="77777777" w:rsidR="00DC6A1F" w:rsidRDefault="009C15A6">
      <w:pPr>
        <w:pStyle w:val="Normal5"/>
      </w:pPr>
      <w:r>
        <w:t xml:space="preserve">-Uredba (EU) 2019/1020 o nadzoru tržišta i sukladnosti proizvoda i o izmjeni Direktive 2004/42/EZ i uredbi (EZ) br. 765/2008 i (EU) br. 305/2011   </w:t>
      </w:r>
    </w:p>
    <w:p w14:paraId="51FFC463" w14:textId="77777777" w:rsidR="00DC6A1F" w:rsidRDefault="009C15A6">
      <w:pPr>
        <w:pStyle w:val="Normal5"/>
      </w:pPr>
      <w:r>
        <w:t xml:space="preserve">-Zakon o provedbi Uredbe (EU) 2023/988 o općoj sigurnosti proizvoda  </w:t>
      </w:r>
    </w:p>
    <w:p w14:paraId="5C1DE8BF" w14:textId="77777777" w:rsidR="00DC6A1F" w:rsidRDefault="009C15A6">
      <w:pPr>
        <w:pStyle w:val="Normal5"/>
      </w:pPr>
      <w:r>
        <w:t xml:space="preserve">- Uredba (EU) 2023/988 o općoj sigurnosti proizvoda  </w:t>
      </w:r>
    </w:p>
    <w:p w14:paraId="0276DEFA" w14:textId="77777777" w:rsidR="00DC6A1F" w:rsidRDefault="009C15A6">
      <w:pPr>
        <w:pStyle w:val="Normal5"/>
      </w:pPr>
      <w:r>
        <w:t xml:space="preserve">- Zakon o energetskoj učinkovitosti    </w:t>
      </w:r>
    </w:p>
    <w:p w14:paraId="2554CC67" w14:textId="77777777" w:rsidR="00DC6A1F" w:rsidRDefault="009C15A6">
      <w:pPr>
        <w:pStyle w:val="Normal5"/>
      </w:pPr>
      <w:r>
        <w:t xml:space="preserve">- Uredba 2017/1369 o utvrđivanju okvira za označivanje energetske učinkovitosti i o stavljanju izvan snage Direktive 2010/30/EU </w:t>
      </w:r>
    </w:p>
    <w:p w14:paraId="41324C02" w14:textId="77777777" w:rsidR="00DC6A1F" w:rsidRDefault="009C15A6">
      <w:pPr>
        <w:pStyle w:val="Normal5"/>
      </w:pPr>
      <w:r>
        <w:t>Sporazum o partnerstvu na projektu SHARP između Hrvatskog zavoda za javno zdravstvo (nositelj projekta) i državnog inspektorata. Zakonska osnova za projekt navedena je unutar Međunarodnih zdravstvenih propisa (International Health Regulations, IHR 2005</w:t>
      </w:r>
    </w:p>
    <w:tbl>
      <w:tblPr>
        <w:tblStyle w:val="StilTablice"/>
        <w:tblW w:w="10206" w:type="dxa"/>
        <w:jc w:val="center"/>
        <w:tblLook w:val="04A0" w:firstRow="1" w:lastRow="0" w:firstColumn="1" w:lastColumn="0" w:noHBand="0" w:noVBand="1"/>
      </w:tblPr>
      <w:tblGrid>
        <w:gridCol w:w="1509"/>
        <w:gridCol w:w="1559"/>
        <w:gridCol w:w="1542"/>
        <w:gridCol w:w="1542"/>
        <w:gridCol w:w="1542"/>
        <w:gridCol w:w="1542"/>
        <w:gridCol w:w="970"/>
      </w:tblGrid>
      <w:tr w:rsidR="00DC6A1F" w14:paraId="1AEC50BD" w14:textId="77777777">
        <w:trPr>
          <w:jc w:val="center"/>
        </w:trPr>
        <w:tc>
          <w:tcPr>
            <w:tcW w:w="1530" w:type="dxa"/>
            <w:shd w:val="clear" w:color="auto" w:fill="B5C0D8"/>
          </w:tcPr>
          <w:p w14:paraId="419AC93C" w14:textId="77777777" w:rsidR="00DC6A1F" w:rsidRDefault="009C15A6">
            <w:pPr>
              <w:pStyle w:val="CellHeader"/>
            </w:pPr>
            <w:r>
              <w:rPr>
                <w:rFonts w:cs="Times New Roman"/>
              </w:rPr>
              <w:t>Naziv aktivnosti</w:t>
            </w:r>
          </w:p>
        </w:tc>
        <w:tc>
          <w:tcPr>
            <w:tcW w:w="1632" w:type="dxa"/>
            <w:shd w:val="clear" w:color="auto" w:fill="B5C0D8"/>
          </w:tcPr>
          <w:p w14:paraId="6A26DAD6" w14:textId="77777777" w:rsidR="00DC6A1F" w:rsidRDefault="009C15A6">
            <w:pPr>
              <w:pStyle w:val="CellHeader"/>
            </w:pPr>
            <w:r>
              <w:rPr>
                <w:rFonts w:cs="Times New Roman"/>
              </w:rPr>
              <w:t>Izvršenje 2024. (eur)</w:t>
            </w:r>
          </w:p>
        </w:tc>
        <w:tc>
          <w:tcPr>
            <w:tcW w:w="1632" w:type="dxa"/>
            <w:shd w:val="clear" w:color="auto" w:fill="B5C0D8"/>
          </w:tcPr>
          <w:p w14:paraId="6FA62DFD" w14:textId="77777777" w:rsidR="00DC6A1F" w:rsidRDefault="009C15A6">
            <w:pPr>
              <w:pStyle w:val="CellHeader"/>
            </w:pPr>
            <w:r>
              <w:rPr>
                <w:rFonts w:cs="Times New Roman"/>
              </w:rPr>
              <w:t>Plan 2025. (eur)</w:t>
            </w:r>
          </w:p>
        </w:tc>
        <w:tc>
          <w:tcPr>
            <w:tcW w:w="1632" w:type="dxa"/>
            <w:shd w:val="clear" w:color="auto" w:fill="B5C0D8"/>
          </w:tcPr>
          <w:p w14:paraId="553F327A" w14:textId="77777777" w:rsidR="00DC6A1F" w:rsidRDefault="009C15A6">
            <w:pPr>
              <w:pStyle w:val="CellHeader"/>
            </w:pPr>
            <w:r>
              <w:rPr>
                <w:rFonts w:cs="Times New Roman"/>
              </w:rPr>
              <w:t>Plan 2026. (eur)</w:t>
            </w:r>
          </w:p>
        </w:tc>
        <w:tc>
          <w:tcPr>
            <w:tcW w:w="1632" w:type="dxa"/>
            <w:shd w:val="clear" w:color="auto" w:fill="B5C0D8"/>
          </w:tcPr>
          <w:p w14:paraId="74805DFD" w14:textId="77777777" w:rsidR="00DC6A1F" w:rsidRDefault="009C15A6">
            <w:pPr>
              <w:pStyle w:val="CellHeader"/>
            </w:pPr>
            <w:r>
              <w:rPr>
                <w:rFonts w:cs="Times New Roman"/>
              </w:rPr>
              <w:t>Plan 2027. (eur)</w:t>
            </w:r>
          </w:p>
        </w:tc>
        <w:tc>
          <w:tcPr>
            <w:tcW w:w="1632" w:type="dxa"/>
            <w:shd w:val="clear" w:color="auto" w:fill="B5C0D8"/>
          </w:tcPr>
          <w:p w14:paraId="7BA2B3C9" w14:textId="77777777" w:rsidR="00DC6A1F" w:rsidRDefault="009C15A6">
            <w:pPr>
              <w:pStyle w:val="CellHeader"/>
            </w:pPr>
            <w:r>
              <w:rPr>
                <w:rFonts w:cs="Times New Roman"/>
              </w:rPr>
              <w:t>Plan 2028. (eur)</w:t>
            </w:r>
          </w:p>
        </w:tc>
        <w:tc>
          <w:tcPr>
            <w:tcW w:w="510" w:type="dxa"/>
            <w:shd w:val="clear" w:color="auto" w:fill="B5C0D8"/>
          </w:tcPr>
          <w:p w14:paraId="2BD8100B" w14:textId="77777777" w:rsidR="00DC6A1F" w:rsidRDefault="009C15A6">
            <w:pPr>
              <w:pStyle w:val="CellHeader"/>
            </w:pPr>
            <w:r>
              <w:rPr>
                <w:rFonts w:cs="Times New Roman"/>
              </w:rPr>
              <w:t>Indeks 2026/2025</w:t>
            </w:r>
          </w:p>
        </w:tc>
      </w:tr>
      <w:tr w:rsidR="00DC6A1F" w14:paraId="4672FC62" w14:textId="77777777">
        <w:trPr>
          <w:jc w:val="center"/>
        </w:trPr>
        <w:tc>
          <w:tcPr>
            <w:tcW w:w="1530" w:type="dxa"/>
          </w:tcPr>
          <w:p w14:paraId="76E214DC" w14:textId="77777777" w:rsidR="00DC6A1F" w:rsidRDefault="009C15A6">
            <w:pPr>
              <w:pStyle w:val="CellColumn"/>
            </w:pPr>
            <w:r>
              <w:rPr>
                <w:rFonts w:cs="Times New Roman"/>
              </w:rPr>
              <w:t>A673021-NADZOR SIGURNOSTI PROIZVODA</w:t>
            </w:r>
          </w:p>
        </w:tc>
        <w:tc>
          <w:tcPr>
            <w:tcW w:w="1632" w:type="dxa"/>
          </w:tcPr>
          <w:p w14:paraId="5A473095" w14:textId="77777777" w:rsidR="00DC6A1F" w:rsidRDefault="009C15A6">
            <w:pPr>
              <w:pStyle w:val="CellColumn"/>
            </w:pPr>
            <w:r>
              <w:rPr>
                <w:rFonts w:cs="Times New Roman"/>
              </w:rPr>
              <w:t>3.038</w:t>
            </w:r>
          </w:p>
        </w:tc>
        <w:tc>
          <w:tcPr>
            <w:tcW w:w="1632" w:type="dxa"/>
          </w:tcPr>
          <w:p w14:paraId="781FBD49" w14:textId="77777777" w:rsidR="00DC6A1F" w:rsidRDefault="009C15A6">
            <w:pPr>
              <w:pStyle w:val="CellColumn"/>
            </w:pPr>
            <w:r>
              <w:rPr>
                <w:rFonts w:cs="Times New Roman"/>
              </w:rPr>
              <w:t>31.197</w:t>
            </w:r>
          </w:p>
        </w:tc>
        <w:tc>
          <w:tcPr>
            <w:tcW w:w="1632" w:type="dxa"/>
          </w:tcPr>
          <w:p w14:paraId="74AD8EB4" w14:textId="77777777" w:rsidR="00DC6A1F" w:rsidRDefault="009C15A6">
            <w:pPr>
              <w:pStyle w:val="CellColumn"/>
            </w:pPr>
            <w:r>
              <w:rPr>
                <w:rFonts w:cs="Times New Roman"/>
              </w:rPr>
              <w:t>25.763</w:t>
            </w:r>
          </w:p>
        </w:tc>
        <w:tc>
          <w:tcPr>
            <w:tcW w:w="1632" w:type="dxa"/>
          </w:tcPr>
          <w:p w14:paraId="414892E4" w14:textId="77777777" w:rsidR="00DC6A1F" w:rsidRDefault="009C15A6">
            <w:pPr>
              <w:pStyle w:val="CellColumn"/>
            </w:pPr>
            <w:r>
              <w:rPr>
                <w:rFonts w:cs="Times New Roman"/>
              </w:rPr>
              <w:t>15.000</w:t>
            </w:r>
          </w:p>
        </w:tc>
        <w:tc>
          <w:tcPr>
            <w:tcW w:w="1632" w:type="dxa"/>
          </w:tcPr>
          <w:p w14:paraId="18380647" w14:textId="77777777" w:rsidR="00DC6A1F" w:rsidRDefault="009C15A6">
            <w:pPr>
              <w:pStyle w:val="CellColumn"/>
            </w:pPr>
            <w:r>
              <w:rPr>
                <w:rFonts w:cs="Times New Roman"/>
              </w:rPr>
              <w:t>15.000</w:t>
            </w:r>
          </w:p>
        </w:tc>
        <w:tc>
          <w:tcPr>
            <w:tcW w:w="510" w:type="dxa"/>
          </w:tcPr>
          <w:p w14:paraId="38559647" w14:textId="77777777" w:rsidR="00DC6A1F" w:rsidRDefault="009C15A6">
            <w:pPr>
              <w:pStyle w:val="CellColumn"/>
            </w:pPr>
            <w:r>
              <w:rPr>
                <w:rFonts w:cs="Times New Roman"/>
              </w:rPr>
              <w:t>82,6</w:t>
            </w:r>
          </w:p>
        </w:tc>
      </w:tr>
    </w:tbl>
    <w:p w14:paraId="4449063B" w14:textId="77777777" w:rsidR="00DC6A1F" w:rsidRDefault="00DC6A1F">
      <w:pPr>
        <w:jc w:val="left"/>
      </w:pPr>
    </w:p>
    <w:p w14:paraId="4080DBFA" w14:textId="77777777" w:rsidR="00DC6A1F" w:rsidRDefault="009C15A6">
      <w:r>
        <w:t>Europska komisija u cilju jačanja koordinacije aktivnosti nadzora tržišta između država članica i osiguravanja potrošačima dostupnosti sigurnih proizvoda na zajedničkom tržištu kontinuirano potiče i financira aktivnosti zajedničkog nadzora tržišta u pogledu sigurnosti proizvoda, pri čemu tijelima za nadzor tržišta upućuje poziv za sudjelovanje u aktivnostima u okviru projekata CASP (Coordinated Activities for the Safety of Products – Koordinirane aktivnosti za sigurnost proizvoda). Pri tome je cilj planiran</w:t>
      </w:r>
      <w:r>
        <w:t xml:space="preserve">ih aktivnosti identifikacija potencijalno nesukladnih proizvoda na tržištu koji mogu predstavljati rizik za sigurnost potrošača te njihovo uklanjanje sa zajedničkog EU tržišta.   </w:t>
      </w:r>
    </w:p>
    <w:p w14:paraId="2A83D7CB" w14:textId="77777777" w:rsidR="00DC6A1F" w:rsidRDefault="009C15A6">
      <w:r>
        <w:t>Sukladno tome, tržišna inspekcija Državnog inspektorata tijekom 2025. godine sudjelovala je u projektu CASP 2025 u okviru kojeg je provodila aktivnosti vezano uz sektore proizvoda iz kategorija dječje opreme (dječje sjedalice za bicikle), a koje aktivnosti prema već ustaljenim okvirima predmetne grupe projekata uključuju provedbu nadzora sukladnosti proizvoda uz uzorkovanje istih s tržišta te njihovo ispitivanje u akreditiranim laboratorijima, pri čemu je trajanje projekta predviđeno i tijekom 2026. godine.</w:t>
      </w:r>
      <w:r>
        <w:t xml:space="preserve">   </w:t>
      </w:r>
    </w:p>
    <w:p w14:paraId="1EFA55A6" w14:textId="77777777" w:rsidR="00DC6A1F" w:rsidRDefault="009C15A6">
      <w:r>
        <w:t xml:space="preserve">Također kako Komisija ovakve projekte planira koninuirano provoditi u okviru sastanaka radnih skupina  Europske komisije u kojima sudjeluje tržišna inspekcija (EUPCN, CSN) najavljeno je kako će Komisija novi CASP  projekt inicirati u 2026. godini, a u koji bi se tržišna inspekcija također uključila ovisno o konkretnim aktivnostima projekta sukladno djelokrugu. S obzirom da još nije poznat točan datum početka projekta, kao i konkreten broj aktivnosti te uzoraka proizvoda koji bi se uzimali s tržišta u svrhu </w:t>
      </w:r>
      <w:r>
        <w:t>njihova ispitivanja na sukladnost s propisanim zahtjevima, sredstva planirana za ovu aktivnost za 2026. godinu utrošila bi se za potrebe transporta uzoraka proizvoda u akreditirane laboratorije u EU u svrhu njihovog ispitivanja i potrebe kupnje uzoraka proizvoda u slučaju kada je potrebno uzeti uzorke proizvoda sa tržišta koji se prodaju online putem, ili kada je potrebno uzeti veći broj primjeraka istog proizvoda za jedan uzorak, što može predstavljati financijsko opterećenje gospodarskom subjektu kod koje</w:t>
      </w:r>
      <w:r>
        <w:t>g se provodi uzorkovanje. Iznos je procijenjen za transport i/ili kupnju oko 10 do 15 uzoraka na temelju dosadašnjih provedenih CASP projekata, a za 2027. i 2028. godinu planiraju se sredstva u jednakom omjeru imajući u vidu kako Europska komisija planira provedbu istih zajedničkih projekata i u narednim razdobljima u koje svrhe je potrebno planirati sredstva radi mogućnosti budućih sudjelovanja u istim projektima, a uzimajući u obzir da je u projektu moguće sudjelovati i u više aktivnosti ovisno o područji</w:t>
      </w:r>
      <w:r>
        <w:t xml:space="preserve">ma proizvoda koji su obuhvaćeni, a koje definira Europska komisija. Pri tome se skreće pažnja da sva utrošena sredstva kroz projekt CASP refundira Europska komisija na temelju izdanih računa za transport i/ili kupnju uzoraka.  </w:t>
      </w:r>
    </w:p>
    <w:p w14:paraId="04B47F0D" w14:textId="77777777" w:rsidR="00DC6A1F" w:rsidRDefault="009C15A6">
      <w:r>
        <w:t>Osim prethodno navedenih projekata, sredstva na ovoj aktivnosti planiraju se i za projekte Europske komisije – JACOP projekti (Joint Actions on Compliance of Products), a koju inicijativu je Europska komisija pokrenula tijekom 2024. godine s ciljem poticanja suradnje između tijela za nadzor tržišta u EU i EFTA državama. Primarni ciljevi ovih projekata uključuju provođenje zajedničkih ispitivanja sukladnosti proizvoda uzorkovanih s jedinstvenog tržišta, procjenu rizika i usklađivanje operativnih metodologija</w:t>
      </w:r>
      <w:r>
        <w:t>, razmjenu znanja i najboljih praksi te učinkovito uklanjanje nesigurnih proizvoda s jedinstvenog tržišta. Prvi iz ovog niza projekata je JACOP 2024 čije vrijeme trajanja je predviđeno kroz 30 mjeseci (prosinac 2024 do svibanj 2026.), a u okviru predmetnog projekta tržišna inspekcija sudjeluje u tri aktivnosti vezane uz tri kategorije proizvoda PSA 8: Fridges (hladnjaci), PSA 14: Children safety equipment (sigurnosna dječja oprema - autosjedalice), PSA 16: Installation cables (instalacijski kablovi). Takođe</w:t>
      </w:r>
      <w:r>
        <w:t xml:space="preserve">r, tržišna inspekcija je uključena i u projekt JACOP 2025 (trajanje prosinac 2024. do listopad 2026. godine),  kroz aktivnost PSA8: Gas appliances (plinski aparati).  S obzirom da su se predmetne aktivnosti iz projekta JACOP 2024 i JACOP 2025 provodile u 2025. godini kada su provedena uzorkovanja, kupnja uzoraka te transport u akreditirane laboratorije u svrhu ispitivanja u 2026. godini nije potrebno planirati dodatna sredstva. </w:t>
      </w:r>
    </w:p>
    <w:p w14:paraId="1B7ABC9D" w14:textId="77777777" w:rsidR="00DC6A1F" w:rsidRDefault="009C15A6">
      <w:r>
        <w:t>Međutim, kako Europska komisija planira i nove JACOP projekte, planirana sredstva predviđena su također za naredne projekte, za potrebe transporta uzoraka u akreditirane laboratorije u svrhu ispitivanja, i potrebe kupnje uzoraka proizvoda u slučaju kada je potrebno uzeti uzorke proizvoda sa tržišta koji se prodaju online putem, ili kada je potrebno uzeti veći broj primjeraka istog proizvoda za jedan uzorak, što može predstavljati financijsko opterećenje gospodarskom subjektu kod kojeg se provodi uzorkovanje</w:t>
      </w:r>
      <w:r>
        <w:t>. Za projekt JACOP 2026 (električna oprema) čiji je početak predviđen u prvom tromjesečju 2026. godine procijenjeni iznos odnosi se na transport i/ili kupnju oko 6 do 10 uzoraka. Za 2027. i 2028. godinu planiraju se sredstva u jednakom omjeru imajući u vidu kako Europska komisija planira provedbu istih zajedničkih projekata i u narednim razdobljima (JACOP 2027) u koje svrhe je potrebno planirati sredstva radi mogućnosti budućih sudjelovanja u istim projektima, a uzimajući u obzir da je u projektu moguće sud</w:t>
      </w:r>
      <w:r>
        <w:t>jelovati i u više aktivnosti ovisno o područjima proizvoda koji su obuhvaćeni (broj uzoraka i kategorije proizvoda još nisu poznati), a koje definira Europska komisija. Pri tome se skreće pažnja da sva utrošena sredstva kroz projekte JACOP refundira Europska komisija na temelju izdanih računa za transport i/ili kupnju uzoraka, dok za potrebe službenih putovanja na sastanke iz okvira projekta postoji opcija da Europska komisija izravno organizira put i smještaj ili osigurava povrat nastalih troškova puta i s</w:t>
      </w:r>
      <w:r>
        <w:t xml:space="preserve">mještaja. </w:t>
      </w:r>
    </w:p>
    <w:p w14:paraId="4EA290ED" w14:textId="77777777" w:rsidR="00DC6A1F" w:rsidRDefault="009C15A6">
      <w:r>
        <w:t>Sanitarna inspekcija sudjelovala je u projektu SHARP koji je imao svrhu jačanja administrativnih kapaciteta sanitarne inspekcije u provedbi Međunarodnih zdravstvenih propisa (International Health Regulations, IHR 2005). Predmetni projekt je završen, a kroz isti su osigurana sredstva koja će tijekom 2026. biti utrošena na edukaciju i simulacijske vježbe – reagiranje na krizu u svrhu provedbe obveza iz IHRa.</w:t>
      </w:r>
    </w:p>
    <w:p w14:paraId="4D9EAF49" w14:textId="77777777" w:rsidR="00DC6A1F" w:rsidRDefault="009C15A6">
      <w:pPr>
        <w:pStyle w:val="Naslov8"/>
        <w:jc w:val="left"/>
      </w:pPr>
      <w:r>
        <w:t>Pokazatelji rezultata</w:t>
      </w:r>
    </w:p>
    <w:tbl>
      <w:tblPr>
        <w:tblStyle w:val="StilTablice"/>
        <w:tblW w:w="10206" w:type="dxa"/>
        <w:jc w:val="center"/>
        <w:tblLook w:val="04A0" w:firstRow="1" w:lastRow="0" w:firstColumn="1" w:lastColumn="0" w:noHBand="0" w:noVBand="1"/>
      </w:tblPr>
      <w:tblGrid>
        <w:gridCol w:w="1908"/>
        <w:gridCol w:w="1909"/>
        <w:gridCol w:w="1817"/>
        <w:gridCol w:w="917"/>
        <w:gridCol w:w="904"/>
        <w:gridCol w:w="917"/>
        <w:gridCol w:w="917"/>
        <w:gridCol w:w="917"/>
      </w:tblGrid>
      <w:tr w:rsidR="00DC6A1F" w14:paraId="305ECF81" w14:textId="77777777">
        <w:trPr>
          <w:jc w:val="center"/>
        </w:trPr>
        <w:tc>
          <w:tcPr>
            <w:tcW w:w="2245" w:type="dxa"/>
            <w:shd w:val="clear" w:color="auto" w:fill="B5C0D8"/>
          </w:tcPr>
          <w:p w14:paraId="5BB75F88" w14:textId="77777777" w:rsidR="00DC6A1F" w:rsidRDefault="009C15A6">
            <w:r>
              <w:t>Pokazatelj rezultata</w:t>
            </w:r>
          </w:p>
        </w:tc>
        <w:tc>
          <w:tcPr>
            <w:tcW w:w="2245" w:type="dxa"/>
            <w:shd w:val="clear" w:color="auto" w:fill="B5C0D8"/>
          </w:tcPr>
          <w:p w14:paraId="24D8C058" w14:textId="77777777" w:rsidR="00DC6A1F" w:rsidRDefault="009C15A6">
            <w:pPr>
              <w:pStyle w:val="CellHeader"/>
            </w:pPr>
            <w:r>
              <w:rPr>
                <w:rFonts w:cs="Times New Roman"/>
              </w:rPr>
              <w:t>Definicija</w:t>
            </w:r>
          </w:p>
        </w:tc>
        <w:tc>
          <w:tcPr>
            <w:tcW w:w="2245" w:type="dxa"/>
            <w:shd w:val="clear" w:color="auto" w:fill="B5C0D8"/>
          </w:tcPr>
          <w:p w14:paraId="2A57C4F0" w14:textId="77777777" w:rsidR="00DC6A1F" w:rsidRDefault="009C15A6">
            <w:pPr>
              <w:pStyle w:val="CellHeader"/>
            </w:pPr>
            <w:r>
              <w:rPr>
                <w:rFonts w:cs="Times New Roman"/>
              </w:rPr>
              <w:t>Jedinica</w:t>
            </w:r>
          </w:p>
        </w:tc>
        <w:tc>
          <w:tcPr>
            <w:tcW w:w="918" w:type="dxa"/>
            <w:shd w:val="clear" w:color="auto" w:fill="B5C0D8"/>
          </w:tcPr>
          <w:p w14:paraId="042B0448" w14:textId="77777777" w:rsidR="00DC6A1F" w:rsidRDefault="009C15A6">
            <w:pPr>
              <w:pStyle w:val="CellHeader"/>
            </w:pPr>
            <w:r>
              <w:rPr>
                <w:rFonts w:cs="Times New Roman"/>
              </w:rPr>
              <w:t>Polazna vrijednost</w:t>
            </w:r>
          </w:p>
        </w:tc>
        <w:tc>
          <w:tcPr>
            <w:tcW w:w="918" w:type="dxa"/>
            <w:shd w:val="clear" w:color="auto" w:fill="B5C0D8"/>
          </w:tcPr>
          <w:p w14:paraId="014FF083" w14:textId="77777777" w:rsidR="00DC6A1F" w:rsidRDefault="009C15A6">
            <w:pPr>
              <w:pStyle w:val="CellHeader"/>
            </w:pPr>
            <w:r>
              <w:rPr>
                <w:rFonts w:cs="Times New Roman"/>
              </w:rPr>
              <w:t>Izvor podataka</w:t>
            </w:r>
          </w:p>
        </w:tc>
        <w:tc>
          <w:tcPr>
            <w:tcW w:w="918" w:type="dxa"/>
            <w:shd w:val="clear" w:color="auto" w:fill="B5C0D8"/>
          </w:tcPr>
          <w:p w14:paraId="72CA8776" w14:textId="77777777" w:rsidR="00DC6A1F" w:rsidRDefault="009C15A6">
            <w:pPr>
              <w:pStyle w:val="CellHeader"/>
            </w:pPr>
            <w:r>
              <w:rPr>
                <w:rFonts w:cs="Times New Roman"/>
              </w:rPr>
              <w:t>Ciljana vrijednost (2026.)</w:t>
            </w:r>
          </w:p>
        </w:tc>
        <w:tc>
          <w:tcPr>
            <w:tcW w:w="918" w:type="dxa"/>
            <w:shd w:val="clear" w:color="auto" w:fill="B5C0D8"/>
          </w:tcPr>
          <w:p w14:paraId="5EBBAAB5" w14:textId="77777777" w:rsidR="00DC6A1F" w:rsidRDefault="009C15A6">
            <w:pPr>
              <w:pStyle w:val="CellHeader"/>
            </w:pPr>
            <w:r>
              <w:rPr>
                <w:rFonts w:cs="Times New Roman"/>
              </w:rPr>
              <w:t>Ciljana vrijednost (2027.)</w:t>
            </w:r>
          </w:p>
        </w:tc>
        <w:tc>
          <w:tcPr>
            <w:tcW w:w="918" w:type="dxa"/>
            <w:shd w:val="clear" w:color="auto" w:fill="B5C0D8"/>
          </w:tcPr>
          <w:p w14:paraId="6090DC43" w14:textId="77777777" w:rsidR="00DC6A1F" w:rsidRDefault="009C15A6">
            <w:pPr>
              <w:pStyle w:val="CellHeader"/>
            </w:pPr>
            <w:r>
              <w:rPr>
                <w:rFonts w:cs="Times New Roman"/>
              </w:rPr>
              <w:t>Ciljana vrijednost (2028.)</w:t>
            </w:r>
          </w:p>
        </w:tc>
      </w:tr>
      <w:tr w:rsidR="00DC6A1F" w14:paraId="385319CD" w14:textId="77777777">
        <w:trPr>
          <w:jc w:val="center"/>
        </w:trPr>
        <w:tc>
          <w:tcPr>
            <w:tcW w:w="2245" w:type="dxa"/>
          </w:tcPr>
          <w:p w14:paraId="404B678C" w14:textId="77777777" w:rsidR="00DC6A1F" w:rsidRDefault="009C15A6">
            <w:pPr>
              <w:pStyle w:val="CellColumn"/>
            </w:pPr>
            <w:r>
              <w:rPr>
                <w:rFonts w:cs="Times New Roman"/>
              </w:rPr>
              <w:t>Udio uzorkovanih proizvoda u planiranom broju uzoraka proizvoda  (određenih kategorija proizvoda u odnosu na planirane)</w:t>
            </w:r>
          </w:p>
        </w:tc>
        <w:tc>
          <w:tcPr>
            <w:tcW w:w="2245" w:type="dxa"/>
          </w:tcPr>
          <w:p w14:paraId="27D03DFA" w14:textId="77777777" w:rsidR="00DC6A1F" w:rsidRDefault="009C15A6">
            <w:pPr>
              <w:pStyle w:val="CellColumn"/>
            </w:pPr>
            <w:r>
              <w:rPr>
                <w:rFonts w:cs="Times New Roman"/>
              </w:rPr>
              <w:t>Ispitivanjem proizvoda uzorkovanih sa tržišta u okviru projekta provjerava se njihova sukladnost s propisanim zahtjevima kako bi se omogućilo uklanjanje s tržišta nesukladnih proizvoda i osiguralo da potrošačima na tržištu budu dostupni samo sigurni proizvodi</w:t>
            </w:r>
          </w:p>
        </w:tc>
        <w:tc>
          <w:tcPr>
            <w:tcW w:w="918" w:type="dxa"/>
          </w:tcPr>
          <w:p w14:paraId="7AE66AAC" w14:textId="77777777" w:rsidR="00DC6A1F" w:rsidRDefault="009C15A6">
            <w:pPr>
              <w:pStyle w:val="CellColumn"/>
            </w:pPr>
            <w:r>
              <w:rPr>
                <w:rFonts w:cs="Times New Roman"/>
              </w:rPr>
              <w:t>Postotak</w:t>
            </w:r>
          </w:p>
        </w:tc>
        <w:tc>
          <w:tcPr>
            <w:tcW w:w="918" w:type="dxa"/>
          </w:tcPr>
          <w:p w14:paraId="749733EE" w14:textId="77777777" w:rsidR="00DC6A1F" w:rsidRDefault="009C15A6">
            <w:pPr>
              <w:pStyle w:val="CellColumn"/>
            </w:pPr>
            <w:r>
              <w:rPr>
                <w:rFonts w:cs="Times New Roman"/>
              </w:rPr>
              <w:t>0</w:t>
            </w:r>
          </w:p>
        </w:tc>
        <w:tc>
          <w:tcPr>
            <w:tcW w:w="918" w:type="dxa"/>
          </w:tcPr>
          <w:p w14:paraId="67B01D95" w14:textId="77777777" w:rsidR="00DC6A1F" w:rsidRDefault="009C15A6">
            <w:pPr>
              <w:pStyle w:val="CellColumn"/>
            </w:pPr>
            <w:r>
              <w:rPr>
                <w:rFonts w:cs="Times New Roman"/>
              </w:rPr>
              <w:t>Izvješće Europske komisije o provedbi projekta CASP 2026</w:t>
            </w:r>
          </w:p>
        </w:tc>
        <w:tc>
          <w:tcPr>
            <w:tcW w:w="918" w:type="dxa"/>
          </w:tcPr>
          <w:p w14:paraId="6A6BBB29" w14:textId="77777777" w:rsidR="00DC6A1F" w:rsidRDefault="009C15A6">
            <w:pPr>
              <w:pStyle w:val="CellColumn"/>
            </w:pPr>
            <w:r>
              <w:rPr>
                <w:rFonts w:cs="Times New Roman"/>
              </w:rPr>
              <w:t>100</w:t>
            </w:r>
          </w:p>
        </w:tc>
        <w:tc>
          <w:tcPr>
            <w:tcW w:w="918" w:type="dxa"/>
          </w:tcPr>
          <w:p w14:paraId="41F81286" w14:textId="77777777" w:rsidR="00DC6A1F" w:rsidRDefault="009C15A6">
            <w:pPr>
              <w:pStyle w:val="CellColumn"/>
            </w:pPr>
            <w:r>
              <w:rPr>
                <w:rFonts w:cs="Times New Roman"/>
              </w:rPr>
              <w:t>100</w:t>
            </w:r>
          </w:p>
        </w:tc>
        <w:tc>
          <w:tcPr>
            <w:tcW w:w="918" w:type="dxa"/>
          </w:tcPr>
          <w:p w14:paraId="64EB7778" w14:textId="77777777" w:rsidR="00DC6A1F" w:rsidRDefault="009C15A6">
            <w:pPr>
              <w:pStyle w:val="CellColumn"/>
            </w:pPr>
            <w:r>
              <w:rPr>
                <w:rFonts w:cs="Times New Roman"/>
              </w:rPr>
              <w:t>100</w:t>
            </w:r>
          </w:p>
        </w:tc>
      </w:tr>
      <w:tr w:rsidR="00DC6A1F" w14:paraId="45136A81" w14:textId="77777777">
        <w:trPr>
          <w:jc w:val="center"/>
        </w:trPr>
        <w:tc>
          <w:tcPr>
            <w:tcW w:w="2245" w:type="dxa"/>
          </w:tcPr>
          <w:p w14:paraId="671193D4" w14:textId="77777777" w:rsidR="00DC6A1F" w:rsidRDefault="009C15A6">
            <w:pPr>
              <w:pStyle w:val="CellColumn"/>
            </w:pPr>
            <w:r>
              <w:rPr>
                <w:rFonts w:cs="Times New Roman"/>
              </w:rPr>
              <w:t>Udio uzorkovanih proizvoda u planiranom broju uzoraka (električna oprema)</w:t>
            </w:r>
          </w:p>
        </w:tc>
        <w:tc>
          <w:tcPr>
            <w:tcW w:w="2245" w:type="dxa"/>
          </w:tcPr>
          <w:p w14:paraId="28611B5C" w14:textId="77777777" w:rsidR="00DC6A1F" w:rsidRDefault="009C15A6">
            <w:pPr>
              <w:pStyle w:val="CellColumn"/>
            </w:pPr>
            <w:r>
              <w:rPr>
                <w:rFonts w:cs="Times New Roman"/>
              </w:rPr>
              <w:t>Ispitivanjem proizvoda uzorkovanih sa tržišta u okviru projekta provjerava se njihova sukladnost s popisanim zahtjevima kako bi se omogućilo uklanjanje s tržišta nesukladnih proizvoda i osiguralo da potrošačima na tržištu budu dostupni samo sigurni proizvodi</w:t>
            </w:r>
          </w:p>
        </w:tc>
        <w:tc>
          <w:tcPr>
            <w:tcW w:w="918" w:type="dxa"/>
          </w:tcPr>
          <w:p w14:paraId="30636F1D" w14:textId="77777777" w:rsidR="00DC6A1F" w:rsidRDefault="009C15A6">
            <w:pPr>
              <w:pStyle w:val="CellColumn"/>
            </w:pPr>
            <w:r>
              <w:rPr>
                <w:rFonts w:cs="Times New Roman"/>
              </w:rPr>
              <w:t>Postotak</w:t>
            </w:r>
          </w:p>
        </w:tc>
        <w:tc>
          <w:tcPr>
            <w:tcW w:w="918" w:type="dxa"/>
          </w:tcPr>
          <w:p w14:paraId="71AA8B71" w14:textId="77777777" w:rsidR="00DC6A1F" w:rsidRDefault="009C15A6">
            <w:pPr>
              <w:pStyle w:val="CellColumn"/>
            </w:pPr>
            <w:r>
              <w:rPr>
                <w:rFonts w:cs="Times New Roman"/>
              </w:rPr>
              <w:t>0</w:t>
            </w:r>
          </w:p>
        </w:tc>
        <w:tc>
          <w:tcPr>
            <w:tcW w:w="918" w:type="dxa"/>
          </w:tcPr>
          <w:p w14:paraId="36B45B13" w14:textId="77777777" w:rsidR="00DC6A1F" w:rsidRDefault="009C15A6">
            <w:pPr>
              <w:pStyle w:val="CellColumn"/>
            </w:pPr>
            <w:r>
              <w:rPr>
                <w:rFonts w:cs="Times New Roman"/>
              </w:rPr>
              <w:t>Izvješće Europske komisije o provedbi projekta JACOP 2026</w:t>
            </w:r>
          </w:p>
        </w:tc>
        <w:tc>
          <w:tcPr>
            <w:tcW w:w="918" w:type="dxa"/>
          </w:tcPr>
          <w:p w14:paraId="4016A678" w14:textId="77777777" w:rsidR="00DC6A1F" w:rsidRDefault="009C15A6">
            <w:pPr>
              <w:pStyle w:val="CellColumn"/>
            </w:pPr>
            <w:r>
              <w:rPr>
                <w:rFonts w:cs="Times New Roman"/>
              </w:rPr>
              <w:t>100</w:t>
            </w:r>
          </w:p>
        </w:tc>
        <w:tc>
          <w:tcPr>
            <w:tcW w:w="918" w:type="dxa"/>
          </w:tcPr>
          <w:p w14:paraId="3FFD16C5" w14:textId="77777777" w:rsidR="00DC6A1F" w:rsidRDefault="009C15A6">
            <w:pPr>
              <w:pStyle w:val="CellColumn"/>
            </w:pPr>
            <w:r>
              <w:rPr>
                <w:rFonts w:cs="Times New Roman"/>
              </w:rPr>
              <w:t>100</w:t>
            </w:r>
          </w:p>
        </w:tc>
        <w:tc>
          <w:tcPr>
            <w:tcW w:w="918" w:type="dxa"/>
          </w:tcPr>
          <w:p w14:paraId="6B5F60DA" w14:textId="77777777" w:rsidR="00DC6A1F" w:rsidRDefault="009C15A6">
            <w:pPr>
              <w:pStyle w:val="CellColumn"/>
            </w:pPr>
            <w:r>
              <w:rPr>
                <w:rFonts w:cs="Times New Roman"/>
              </w:rPr>
              <w:t>0</w:t>
            </w:r>
          </w:p>
        </w:tc>
      </w:tr>
      <w:tr w:rsidR="00DC6A1F" w14:paraId="456730A5" w14:textId="77777777">
        <w:trPr>
          <w:jc w:val="center"/>
        </w:trPr>
        <w:tc>
          <w:tcPr>
            <w:tcW w:w="2245" w:type="dxa"/>
          </w:tcPr>
          <w:p w14:paraId="14E9B281" w14:textId="77777777" w:rsidR="00DC6A1F" w:rsidRDefault="009C15A6">
            <w:pPr>
              <w:pStyle w:val="CellColumn"/>
            </w:pPr>
            <w:r>
              <w:rPr>
                <w:rFonts w:cs="Times New Roman"/>
              </w:rPr>
              <w:t>Udio uzorkovanih proizvoda u planiranom broju uzoraka proizvoda (određenih kategorija proizvoda u odnosu na planirane)</w:t>
            </w:r>
          </w:p>
        </w:tc>
        <w:tc>
          <w:tcPr>
            <w:tcW w:w="2245" w:type="dxa"/>
          </w:tcPr>
          <w:p w14:paraId="6471B7F5" w14:textId="77777777" w:rsidR="00DC6A1F" w:rsidRDefault="009C15A6">
            <w:pPr>
              <w:pStyle w:val="CellColumn"/>
            </w:pPr>
            <w:r>
              <w:rPr>
                <w:rFonts w:cs="Times New Roman"/>
              </w:rPr>
              <w:t>Ispitivanjem proizvoda uzorkovanih sa tržišta u okviru projekta provjerava se njihova sukladnost s propisanim zahtjevima kako bi se omogućilo uklanjanje s tržišta nesukladnih proizvoda i osiguralo da potrošačima na tržištu budu dostupni sukladni i sigurni proizvodi</w:t>
            </w:r>
          </w:p>
        </w:tc>
        <w:tc>
          <w:tcPr>
            <w:tcW w:w="918" w:type="dxa"/>
          </w:tcPr>
          <w:p w14:paraId="79AB1B93" w14:textId="77777777" w:rsidR="00DC6A1F" w:rsidRDefault="009C15A6">
            <w:pPr>
              <w:pStyle w:val="CellColumn"/>
            </w:pPr>
            <w:r>
              <w:rPr>
                <w:rFonts w:cs="Times New Roman"/>
              </w:rPr>
              <w:t>Postotak</w:t>
            </w:r>
          </w:p>
        </w:tc>
        <w:tc>
          <w:tcPr>
            <w:tcW w:w="918" w:type="dxa"/>
          </w:tcPr>
          <w:p w14:paraId="344DD3FC" w14:textId="77777777" w:rsidR="00DC6A1F" w:rsidRDefault="009C15A6">
            <w:pPr>
              <w:pStyle w:val="CellColumn"/>
            </w:pPr>
            <w:r>
              <w:rPr>
                <w:rFonts w:cs="Times New Roman"/>
              </w:rPr>
              <w:t>0</w:t>
            </w:r>
          </w:p>
        </w:tc>
        <w:tc>
          <w:tcPr>
            <w:tcW w:w="918" w:type="dxa"/>
          </w:tcPr>
          <w:p w14:paraId="28CA2E82" w14:textId="77777777" w:rsidR="00DC6A1F" w:rsidRDefault="009C15A6">
            <w:pPr>
              <w:pStyle w:val="CellColumn"/>
            </w:pPr>
            <w:r>
              <w:rPr>
                <w:rFonts w:cs="Times New Roman"/>
              </w:rPr>
              <w:t>Izvješće Europske komisije o provedbi projekta JACOP 2027</w:t>
            </w:r>
          </w:p>
        </w:tc>
        <w:tc>
          <w:tcPr>
            <w:tcW w:w="918" w:type="dxa"/>
          </w:tcPr>
          <w:p w14:paraId="6F670166" w14:textId="77777777" w:rsidR="00DC6A1F" w:rsidRDefault="009C15A6">
            <w:pPr>
              <w:pStyle w:val="CellColumn"/>
            </w:pPr>
            <w:r>
              <w:rPr>
                <w:rFonts w:cs="Times New Roman"/>
              </w:rPr>
              <w:t>0</w:t>
            </w:r>
          </w:p>
        </w:tc>
        <w:tc>
          <w:tcPr>
            <w:tcW w:w="918" w:type="dxa"/>
          </w:tcPr>
          <w:p w14:paraId="5DAD8D87" w14:textId="77777777" w:rsidR="00DC6A1F" w:rsidRDefault="009C15A6">
            <w:pPr>
              <w:pStyle w:val="CellColumn"/>
            </w:pPr>
            <w:r>
              <w:rPr>
                <w:rFonts w:cs="Times New Roman"/>
              </w:rPr>
              <w:t>100</w:t>
            </w:r>
          </w:p>
        </w:tc>
        <w:tc>
          <w:tcPr>
            <w:tcW w:w="918" w:type="dxa"/>
          </w:tcPr>
          <w:p w14:paraId="661B6E66" w14:textId="77777777" w:rsidR="00DC6A1F" w:rsidRDefault="009C15A6">
            <w:pPr>
              <w:pStyle w:val="CellColumn"/>
            </w:pPr>
            <w:r>
              <w:rPr>
                <w:rFonts w:cs="Times New Roman"/>
              </w:rPr>
              <w:t>100</w:t>
            </w:r>
          </w:p>
        </w:tc>
      </w:tr>
    </w:tbl>
    <w:p w14:paraId="22C211DE" w14:textId="77777777" w:rsidR="00DC6A1F" w:rsidRDefault="00DC6A1F">
      <w:pPr>
        <w:jc w:val="left"/>
      </w:pPr>
    </w:p>
    <w:p w14:paraId="0A344905" w14:textId="77777777" w:rsidR="00DC6A1F" w:rsidRDefault="009C15A6">
      <w:pPr>
        <w:pStyle w:val="Naslov4"/>
      </w:pPr>
      <w:r>
        <w:t>A673022 SLUŽBENE KONTROLE</w:t>
      </w:r>
    </w:p>
    <w:p w14:paraId="12E1F05A" w14:textId="77777777" w:rsidR="00DC6A1F" w:rsidRDefault="009C15A6">
      <w:pPr>
        <w:pStyle w:val="Naslov8"/>
        <w:jc w:val="left"/>
      </w:pPr>
      <w:r>
        <w:t>Zakonske i druge pravne osnove</w:t>
      </w:r>
    </w:p>
    <w:p w14:paraId="00CE74A1" w14:textId="77777777" w:rsidR="00DC6A1F" w:rsidRDefault="009C15A6">
      <w:pPr>
        <w:pStyle w:val="Normal5"/>
      </w:pPr>
      <w:r>
        <w:t xml:space="preserve">-Zakon o službenim kontrolama i drugim službenim aktivnostima koje se provode sukladno propisima o hrani, hrani za životinje, o zdravlju i dobrobiti životinja, zdravlju bilja i sredstvima za zaštitu bilja (članak 62)  </w:t>
      </w:r>
    </w:p>
    <w:p w14:paraId="0B5D065B" w14:textId="77777777" w:rsidR="00DC6A1F" w:rsidRDefault="009C15A6">
      <w:pPr>
        <w:pStyle w:val="Normal5"/>
      </w:pPr>
      <w:r>
        <w:t>-Pravilnik o visini pristojbi i naknada za službene kontrole koji preuzimaju odredbe Uredbe (EU) br. 625/2017 (Uredba o službenim kontrolama). Navedenim Pravilnikom propisane su pristojbe i naknade, preuzete iz Uredbe, i obveznici plaćanja tih pristojbi i naknada su subjekti u poslovanju s hranom životinjskog podrijetla, hranom za životinje i nusproizvodima. Pravilnikom su također propisane i naknade odnosno troškovi nastali prilikom obavljanja službenih kontrola koji su, putem ugovora o dodjeli određenih p</w:t>
      </w:r>
      <w:r>
        <w:t xml:space="preserve">oslova službenih kontrola i drugih službenih aktivnosti, povjereni delegiranim tijelima odnosno akreditiranim veterinarskim organizacijama </w:t>
      </w:r>
    </w:p>
    <w:p w14:paraId="0AC97794" w14:textId="77777777" w:rsidR="00DC6A1F" w:rsidRDefault="009C15A6">
      <w:pPr>
        <w:pStyle w:val="Normal5"/>
      </w:pPr>
      <w:r>
        <w:t xml:space="preserve">-Pravilnik o naknadama za poslove biljnog zdravstva „Narodne novine“, br.  4/23 kojim se propisuju naknade za laboratorijske analize iz područja rada fitosanitarne inspekcije kada je propisano da se plaćaju iz Državnog proračuna;  </w:t>
      </w:r>
    </w:p>
    <w:p w14:paraId="6DFD0F50" w14:textId="77777777" w:rsidR="00DC6A1F" w:rsidRDefault="009C15A6">
      <w:pPr>
        <w:pStyle w:val="Normal5"/>
      </w:pPr>
      <w:r>
        <w:t>-Zakon o predmetima opće uporabe.</w:t>
      </w:r>
    </w:p>
    <w:tbl>
      <w:tblPr>
        <w:tblStyle w:val="StilTablice"/>
        <w:tblW w:w="10206" w:type="dxa"/>
        <w:jc w:val="center"/>
        <w:tblLook w:val="04A0" w:firstRow="1" w:lastRow="0" w:firstColumn="1" w:lastColumn="0" w:noHBand="0" w:noVBand="1"/>
      </w:tblPr>
      <w:tblGrid>
        <w:gridCol w:w="1488"/>
        <w:gridCol w:w="1540"/>
        <w:gridCol w:w="1552"/>
        <w:gridCol w:w="1552"/>
        <w:gridCol w:w="1552"/>
        <w:gridCol w:w="1552"/>
        <w:gridCol w:w="970"/>
      </w:tblGrid>
      <w:tr w:rsidR="00DC6A1F" w14:paraId="4222F955" w14:textId="77777777">
        <w:trPr>
          <w:jc w:val="center"/>
        </w:trPr>
        <w:tc>
          <w:tcPr>
            <w:tcW w:w="1530" w:type="dxa"/>
            <w:shd w:val="clear" w:color="auto" w:fill="B5C0D8"/>
          </w:tcPr>
          <w:p w14:paraId="20416E82" w14:textId="77777777" w:rsidR="00DC6A1F" w:rsidRDefault="009C15A6">
            <w:pPr>
              <w:pStyle w:val="CellHeader"/>
            </w:pPr>
            <w:r>
              <w:rPr>
                <w:rFonts w:cs="Times New Roman"/>
              </w:rPr>
              <w:t>Naziv aktivnosti</w:t>
            </w:r>
          </w:p>
        </w:tc>
        <w:tc>
          <w:tcPr>
            <w:tcW w:w="1632" w:type="dxa"/>
            <w:shd w:val="clear" w:color="auto" w:fill="B5C0D8"/>
          </w:tcPr>
          <w:p w14:paraId="09392575" w14:textId="77777777" w:rsidR="00DC6A1F" w:rsidRDefault="009C15A6">
            <w:pPr>
              <w:pStyle w:val="CellHeader"/>
            </w:pPr>
            <w:r>
              <w:rPr>
                <w:rFonts w:cs="Times New Roman"/>
              </w:rPr>
              <w:t>Izvršenje 2024. (eur)</w:t>
            </w:r>
          </w:p>
        </w:tc>
        <w:tc>
          <w:tcPr>
            <w:tcW w:w="1632" w:type="dxa"/>
            <w:shd w:val="clear" w:color="auto" w:fill="B5C0D8"/>
          </w:tcPr>
          <w:p w14:paraId="705E9DC4" w14:textId="77777777" w:rsidR="00DC6A1F" w:rsidRDefault="009C15A6">
            <w:pPr>
              <w:pStyle w:val="CellHeader"/>
            </w:pPr>
            <w:r>
              <w:rPr>
                <w:rFonts w:cs="Times New Roman"/>
              </w:rPr>
              <w:t>Plan 2025. (eur)</w:t>
            </w:r>
          </w:p>
        </w:tc>
        <w:tc>
          <w:tcPr>
            <w:tcW w:w="1632" w:type="dxa"/>
            <w:shd w:val="clear" w:color="auto" w:fill="B5C0D8"/>
          </w:tcPr>
          <w:p w14:paraId="78D7651B" w14:textId="77777777" w:rsidR="00DC6A1F" w:rsidRDefault="009C15A6">
            <w:pPr>
              <w:pStyle w:val="CellHeader"/>
            </w:pPr>
            <w:r>
              <w:rPr>
                <w:rFonts w:cs="Times New Roman"/>
              </w:rPr>
              <w:t>Plan 2026. (eur)</w:t>
            </w:r>
          </w:p>
        </w:tc>
        <w:tc>
          <w:tcPr>
            <w:tcW w:w="1632" w:type="dxa"/>
            <w:shd w:val="clear" w:color="auto" w:fill="B5C0D8"/>
          </w:tcPr>
          <w:p w14:paraId="7A4EB537" w14:textId="77777777" w:rsidR="00DC6A1F" w:rsidRDefault="009C15A6">
            <w:pPr>
              <w:pStyle w:val="CellHeader"/>
            </w:pPr>
            <w:r>
              <w:rPr>
                <w:rFonts w:cs="Times New Roman"/>
              </w:rPr>
              <w:t>Plan 2027. (eur)</w:t>
            </w:r>
          </w:p>
        </w:tc>
        <w:tc>
          <w:tcPr>
            <w:tcW w:w="1632" w:type="dxa"/>
            <w:shd w:val="clear" w:color="auto" w:fill="B5C0D8"/>
          </w:tcPr>
          <w:p w14:paraId="388AFB4A" w14:textId="77777777" w:rsidR="00DC6A1F" w:rsidRDefault="009C15A6">
            <w:pPr>
              <w:pStyle w:val="CellHeader"/>
            </w:pPr>
            <w:r>
              <w:rPr>
                <w:rFonts w:cs="Times New Roman"/>
              </w:rPr>
              <w:t>Plan 2028. (eur)</w:t>
            </w:r>
          </w:p>
        </w:tc>
        <w:tc>
          <w:tcPr>
            <w:tcW w:w="510" w:type="dxa"/>
            <w:shd w:val="clear" w:color="auto" w:fill="B5C0D8"/>
          </w:tcPr>
          <w:p w14:paraId="46D7068C" w14:textId="77777777" w:rsidR="00DC6A1F" w:rsidRDefault="009C15A6">
            <w:pPr>
              <w:pStyle w:val="CellHeader"/>
            </w:pPr>
            <w:r>
              <w:rPr>
                <w:rFonts w:cs="Times New Roman"/>
              </w:rPr>
              <w:t>Indeks 2026/2025</w:t>
            </w:r>
          </w:p>
        </w:tc>
      </w:tr>
      <w:tr w:rsidR="00DC6A1F" w14:paraId="3D145491" w14:textId="77777777">
        <w:trPr>
          <w:jc w:val="center"/>
        </w:trPr>
        <w:tc>
          <w:tcPr>
            <w:tcW w:w="1530" w:type="dxa"/>
          </w:tcPr>
          <w:p w14:paraId="52C40EDD" w14:textId="77777777" w:rsidR="00DC6A1F" w:rsidRDefault="009C15A6">
            <w:pPr>
              <w:pStyle w:val="CellColumn"/>
            </w:pPr>
            <w:r>
              <w:rPr>
                <w:rFonts w:cs="Times New Roman"/>
              </w:rPr>
              <w:t>A673022-SLUŽBENE KONTROLE</w:t>
            </w:r>
          </w:p>
        </w:tc>
        <w:tc>
          <w:tcPr>
            <w:tcW w:w="1632" w:type="dxa"/>
          </w:tcPr>
          <w:p w14:paraId="467B1E15" w14:textId="77777777" w:rsidR="00DC6A1F" w:rsidRDefault="009C15A6">
            <w:pPr>
              <w:pStyle w:val="CellColumn"/>
            </w:pPr>
            <w:r>
              <w:rPr>
                <w:rFonts w:cs="Times New Roman"/>
              </w:rPr>
              <w:t>7.481.918</w:t>
            </w:r>
          </w:p>
        </w:tc>
        <w:tc>
          <w:tcPr>
            <w:tcW w:w="1632" w:type="dxa"/>
          </w:tcPr>
          <w:p w14:paraId="7C3DF7BF" w14:textId="77777777" w:rsidR="00DC6A1F" w:rsidRDefault="009C15A6">
            <w:pPr>
              <w:pStyle w:val="CellColumn"/>
            </w:pPr>
            <w:r>
              <w:rPr>
                <w:rFonts w:cs="Times New Roman"/>
              </w:rPr>
              <w:t>13.217.480</w:t>
            </w:r>
          </w:p>
        </w:tc>
        <w:tc>
          <w:tcPr>
            <w:tcW w:w="1632" w:type="dxa"/>
          </w:tcPr>
          <w:p w14:paraId="70565EB5" w14:textId="77777777" w:rsidR="00DC6A1F" w:rsidRDefault="009C15A6">
            <w:pPr>
              <w:pStyle w:val="CellColumn"/>
            </w:pPr>
            <w:r>
              <w:rPr>
                <w:rFonts w:cs="Times New Roman"/>
              </w:rPr>
              <w:t>12.497.574</w:t>
            </w:r>
          </w:p>
        </w:tc>
        <w:tc>
          <w:tcPr>
            <w:tcW w:w="1632" w:type="dxa"/>
          </w:tcPr>
          <w:p w14:paraId="3C7C3D91" w14:textId="77777777" w:rsidR="00DC6A1F" w:rsidRDefault="009C15A6">
            <w:pPr>
              <w:pStyle w:val="CellColumn"/>
            </w:pPr>
            <w:r>
              <w:rPr>
                <w:rFonts w:cs="Times New Roman"/>
              </w:rPr>
              <w:t>13.554.000</w:t>
            </w:r>
          </w:p>
        </w:tc>
        <w:tc>
          <w:tcPr>
            <w:tcW w:w="1632" w:type="dxa"/>
          </w:tcPr>
          <w:p w14:paraId="0552A83D" w14:textId="77777777" w:rsidR="00DC6A1F" w:rsidRDefault="009C15A6">
            <w:pPr>
              <w:pStyle w:val="CellColumn"/>
            </w:pPr>
            <w:r>
              <w:rPr>
                <w:rFonts w:cs="Times New Roman"/>
              </w:rPr>
              <w:t>12.354.000</w:t>
            </w:r>
          </w:p>
        </w:tc>
        <w:tc>
          <w:tcPr>
            <w:tcW w:w="510" w:type="dxa"/>
          </w:tcPr>
          <w:p w14:paraId="4F0CE75A" w14:textId="77777777" w:rsidR="00DC6A1F" w:rsidRDefault="009C15A6">
            <w:pPr>
              <w:pStyle w:val="CellColumn"/>
            </w:pPr>
            <w:r>
              <w:rPr>
                <w:rFonts w:cs="Times New Roman"/>
              </w:rPr>
              <w:t>94,6</w:t>
            </w:r>
          </w:p>
        </w:tc>
      </w:tr>
    </w:tbl>
    <w:p w14:paraId="4FFD1598" w14:textId="77777777" w:rsidR="00DC6A1F" w:rsidRDefault="00DC6A1F">
      <w:pPr>
        <w:jc w:val="left"/>
      </w:pPr>
    </w:p>
    <w:p w14:paraId="3B3236AB" w14:textId="77777777" w:rsidR="00DC6A1F" w:rsidRDefault="009C15A6">
      <w:r>
        <w:t xml:space="preserve">Sredstva na ovoj aktivnosti koriste veterinarska, poljoprivredna i fitosanitarna inspekcija za provedbu službenih kontrola svaka u svom djelokrugu.  </w:t>
      </w:r>
    </w:p>
    <w:p w14:paraId="10681EC8" w14:textId="77777777" w:rsidR="00DC6A1F" w:rsidRDefault="009C15A6">
      <w:r>
        <w:t>Zakon o službenim kontrolama i drugim službenim aktivnostima koje se provode sukladno propisima o hrani, hrani za životinje, o zdravlju i dobrobiti životinja, zdravlju bilja i sredstvima za zaštitu bilja (članak 62), Pravilnik o pristojbama i naknadama za financiranje provedbe službenih kontrola i drugih službenih aktivnosti koji preuzimaju odredbe Uredbe (EU) br. 625/2017 (Uredba o službenim kontrolama). Navedenim Pravilnikom propisane su pristojbe i naknade, preuzete iz Uredbe, i obveznici plaćanja tih pr</w:t>
      </w:r>
      <w:r>
        <w:t xml:space="preserve">istojbi i naknada su subjekti u poslovanju s hranom životinjskog podrijetla, hranom za životinje i nusproizvodima. Pravilnikom su također propisane i naknade odnosno troškovi nastali prilikom obavljanja službenih kontrola koji su, putem ugovora o dodjeli određenih poslova službenih kontrola i drugih službenih aktivnosti, povjereni delegiranim tijelima odnosno akreditiranim veterinarskim organizacijama.  </w:t>
      </w:r>
    </w:p>
    <w:p w14:paraId="05719E46" w14:textId="77777777" w:rsidR="00DC6A1F" w:rsidRDefault="009C15A6">
      <w:r>
        <w:t>Zakonom o službenim kontrolama, člankom 6. stavkom 1. alineja 3., dana je nadležnost DIRH-u da za obavljanje pojedinih poslova službenih kontrola može ovlastiti delegirana tijela. U skladu s člankom 62. stavak 4., sredstva prikupljena pristojbama i naknadama za obavljene službene kontrole mogu se koristiti za financiranje troškova koji proizlaze iz povjeravanja zadaća službenih kontrola delegiranim tijelima. Budući da se sva sredstva prikupljena uplatama pristojbi i naknada u sklopu koriste za isplatu obavl</w:t>
      </w:r>
      <w:r>
        <w:t>jenih poslova delegiranim tijelima, za potrebe provedbe službenih kontrola u dijelu veterinarske inspekcije potrebno je osigurati dodatna sredstva na izvoru 11 za provedbu aktivnosti koje proizlaze iz odredbi Zakona o službenim kontrolama i Pravilnika o pristojbama i naknadama za financiranje provedbe službenih kontrola i drugih službenih aktivnosti. Ovo se u većem dijelu odnosi na podmirivanje troškova za preglede na trihinellu i dodatnim vremenom potrebnim za rad veterinara za koje je propisano da se podm</w:t>
      </w:r>
      <w:r>
        <w:t xml:space="preserve">iruju iz državnog proračuna. </w:t>
      </w:r>
    </w:p>
    <w:p w14:paraId="72D19F12" w14:textId="77777777" w:rsidR="00DC6A1F" w:rsidRDefault="009C15A6">
      <w:r>
        <w:t xml:space="preserve">Prijedlogom proračuna kroz ovu aktivnost na izvoru 43 planira se nabava potrebne opreme za uzorkovanje, vozila, prijenosnih hladnjaka, termometara, sondi, plombi, računala i računalne opreme, održavanje graničnih prijelaza, troškove edukacije inspektora, troškove za provođenje uzorkovanja i analiza za službene kontrole i monitoringe, izrada plakata, panoa i letaka za granične prijelaze, tiskanje veterinarskih certifikata i ostalih obrazaca i potvrda kako je propisano člankom 49. stavkom 1. točkom g. Zakona </w:t>
      </w:r>
      <w:r>
        <w:t xml:space="preserve">o službenim kontrolama, izradu i provođenje plana praćenja pošiljaka iz uvoza u skladu s člankom 6. stavkom 1. alinejom 13. Zakona o službenim kontrolama. </w:t>
      </w:r>
    </w:p>
    <w:p w14:paraId="6ED065DB" w14:textId="77777777" w:rsidR="00DC6A1F" w:rsidRDefault="009C15A6">
      <w:r>
        <w:t>Kako su Zakonom o službenim kontrolama poslovi financiranja službenih kontrola, delegiranja poslova službenih kontrola delegiranim tijelima, izrade nacionalnog općeg plana upravljanja krizom, upravljanje RASFF sustavom prešli iz nadležnosti Ministarstva poljoprivrede u nadležnost Državnog inspektorata, jednako tako su preuzete obveze po navedenim poslovima, a koji se u najvećoj mjeri odnose na održavanje i nadogradnju informacijskih sustava, nabavu opreme i instrumenata koja služi veterinarskoj inspekciji i</w:t>
      </w:r>
      <w:r>
        <w:t xml:space="preserve"> graničnoj veterinarskoj inspekciji u provođenju službenih kontrola (kompleti opreme za obavljanje pregleda mesa na Trichinellu, čitaći mikročipova, oprema za uzorkovanje hrane za životinje, sredstva za umjeravanje instrumenata). Jednako tako, za primjenu općeg plana upravljanja krizom predviđenog u članku 55. Uredbe (EZ) 178/2002, države članice su obvezne u skladu s člankom 115. Uredbe o službenim kontrolama (EU) 2017/625 izraditi operativne planove upravljanja krizom (članak 115. stavak 2.) u području si</w:t>
      </w:r>
      <w:r>
        <w:t>gurnosti hrane i hrane za životinje s ciljem predviđanja mjera koje se moraju provesti bez odgađanja, kada se utvrdi da hrana ili hrana za životinje predstavlja ozbiljnu opasnost za ljude ili životinje bilo izravno ili putem okoliša. Člankom 6. stavkom 1. alinejom 15. i člankom 70. Zakona o službenim kontrolama, Državnom inspektoratu propisana je obveza izrade nacionalnog općeg plana upravljanja krizom u području sigurnosti hrane i hrane za životinje koji bi se aktivirao u slučaju da hrana i/ili hrana za ži</w:t>
      </w:r>
      <w:r>
        <w:t xml:space="preserve">votinje predstavlja ozbiljnu opasnost po ljude i životinje. Kako bi se omogućilo funkcioniranje nacionalnog kriznog stožera iz članka 70. Zakona o službenim kontrolama i provedba Plana u slučaju eventualnog izbijanja krize, u skladu s praksom drugih država članica, potrebno je imati osigurana određena financijska sredstva u državnom proračunu na izvoru 11. S tim u vezi, na ovoj stavci potrebno je osigurati novčana sredstava za redovito i nesmetano funkcioniranje i obavljanje službenih kontrola.   </w:t>
      </w:r>
    </w:p>
    <w:p w14:paraId="4BE06730" w14:textId="77777777" w:rsidR="00DC6A1F" w:rsidRDefault="009C15A6">
      <w:r>
        <w:t xml:space="preserve">Sredstva s ove stavke prvenstveno su predviđena za provođenje službenih kontrola u svim fazama proizvodnje, prerade i distribucije hrane ili hrane za životinje, te na životinjama i proizvodima životinjskog podrijetla, kao i nusproizvodima životinjskog podrijetla, a koje se provode na temelju analize rizika i s odgovarajućom učestalosti, prema godišnjem planu kontrola, sve u cilju učinkovite kontrole zdravstvene ispravnosti, higijene i kakvoće hrane i hrane za životinje odnosno stavljanja na tržište sigurne </w:t>
      </w:r>
      <w:r>
        <w:t>hrane s čim se ujedno osigurava zaštita zdravlja ljudi, životinja i interesa potrošača. Uredom 625/2017 o službenim kontrolama propisano je da nadležna tijela moraju osigurati adekvatne laboratorijske kapacitete za analizu, ispitivanje i dijagnosticiranje, moraju imati dovoljan broj osoblja s odgovarajućim kvalifikacijama, te prikladne i propisno održavane objekte i opremu kako bi se osiguralo da osoblje službene kontrole i druge službene aktivnosti može provoditi učinkovito i djelotvorno. Stoga se prijedlo</w:t>
      </w:r>
      <w:r>
        <w:t>gom proračuna kroz ovu aktivnost planira nabava potrebne opreme za uzorkovanje, vozila, prijenosnih hladnjaka, termometara, sondi, plombi, računala i računalne opreme, održavanje graničnih prijelaza, troškove edukacije inspektora, troškove za provođenje analiza za službene kontrole i monitoringe. Sredstva za provođenje službenih kontrola hrane u svim fazama proizvodnje, prerade i distribucije osigurana su na izvoru 43 jer je člankom 62. stavak 3. propisano da za obavljanje službenih kontrola i drugih službe</w:t>
      </w:r>
      <w:r>
        <w:t xml:space="preserve">nih aktivnosti Državni inspektorat naplaćuje pristojbe i naknade u skladu s odredbama glave II. poglavlja VI. Uredbe (EU) 2017/625. </w:t>
      </w:r>
    </w:p>
    <w:p w14:paraId="7AE3742D" w14:textId="77777777" w:rsidR="00DC6A1F" w:rsidRDefault="009C15A6">
      <w:r>
        <w:t>Sredstva sa ove stavke namijenjena su za provođenje službenih kontrola i inspekcijskih nadzora iz djelokruga rada sanitarne inspekcije i osigurana su na izvoru 11 i izvoru 43. Sanitarna inspekcija nadležna je za kemikalije i biocide, ograničavanje uporabe duhanskih proizvoda, sigurnost hrane, predmeta opće uporabe, vode za ljudsku potrošnju te za nadzor provedbe mjera zaštite od buke i  zaštite pučanstva od zaraznih bolesti. Sredstva za laboratorijske analize službenih uzoraka u svrhu utvrđivanja ispravnost</w:t>
      </w:r>
      <w:r>
        <w:t xml:space="preserve">i vode za ljudsku potrošnju, predmeta opće uporabe i provedbe mjera za zaštitu od buke osiguravaju se na izvoru 11 u iznosu od 150.000 eur.  </w:t>
      </w:r>
    </w:p>
    <w:p w14:paraId="02ECD717" w14:textId="77777777" w:rsidR="00DC6A1F" w:rsidRDefault="009C15A6">
      <w:r>
        <w:t>Provedba službenih kontrola iz područja sigurnosti hrane financira se sa aktivnost na izvoru 43, te se planira nabava potrebne opreme za uzorkovanje, vozila, prijenosnih hladnjaka, termometara, sondi, plombi, računala i računalne opreme, održavanje graničnih prijelaza, troškove edukacije inspektora, troškove za provođenje uzorkovanja i analiza za službene kontrole i monitoringe. Sredstva s ove stavke prvenstveno su predviđena za provođenje službenih kontrola u svim fazama proizvodnje, prerade i distribucije</w:t>
      </w:r>
      <w:r>
        <w:t xml:space="preserve"> koje se provode u skladu s Višegodišnjim nacionalnim planom službenih kontrola u svrhu provedbe Uredbe 628/2017. Uredom 625/2017 o službenim kontrolama propisano je da nadležna tijela moraju osigurati adekvatne laboratorijske kapacitete za analizu, ispitivanje i dijagnosticiranje, moraju imati dovoljan broj osoblja s odgovarajućim kvalifikacijama, te prikladne i propisno održavane objekte i opremu kako bi se osiguralo da osoblje službene kontrole i druge službene aktivnosti može provoditi učinkovito i djel</w:t>
      </w:r>
      <w:r>
        <w:t xml:space="preserve">otvorno. Stoga se prijedlogom proračuna za navedeno proračunsko razdoblje planiraju sredstva za: laboratorijske analize hrane (150.000 eura), nabava potrebne opreme, provedba nadzora i usavršavanje inspektora (97.000 eura). Izvješća o provedenim službenim kontrolama sanitarna inspekcija obavezna je dostavljati Europskoj komisiji i Europskoj agenciji za sigurnost hrane. U svrhu prikupljanja podataka za predmetna izvješća nužno je osigurati funkcioniranje  i održavanje aplikativnih sustava SISSI i LIMS, te u </w:t>
      </w:r>
      <w:r>
        <w:t xml:space="preserve">narednom proračunskom razdoblju osigurati i nadogradnju postojećih sustava kako bi se osigurala kompatibilnost sustava i sigurnost sustava sa novim EU zahtjevima.   </w:t>
      </w:r>
    </w:p>
    <w:p w14:paraId="530440D5" w14:textId="77777777" w:rsidR="00DC6A1F" w:rsidRDefault="009C15A6">
      <w:r>
        <w:t>Sredstva za provedbu službenih kontrola i aktivnosti fitosanitarne inspekcije osigurana su na izvoru 43 sukladno članku 62. ZOSK-a radi nabave potrebne inspekcijske opreme, opreme za uzorkovanje, vozila, podmirivanje troškova provedbe uzorkovanja proizvoda iz nadležnosti fitosanitarne inspekcije, održavanja graničnih prijelaza za fitosanitarnu inspekciju, troškove edukacije inspektora, nabavu računala i računalne opreme, radnih strojeva i uređaja, alata i pribora za pregled bilja i uzimanje uzoraka, prijeno</w:t>
      </w:r>
      <w:r>
        <w:t xml:space="preserve">snih hladnjaka, termometara, sondi, plombi, opreme za sprečavanje unakrsne kontaminacije, optičkih uređaja i pribora i sl., po potrebi troškove usluga izvršenja pojedinih fitosanitarnih mjera, uredske opreme i namještaja za potrebe fitosanitarne inspekcije i sl.  </w:t>
      </w:r>
    </w:p>
    <w:p w14:paraId="6537FD0D" w14:textId="77777777" w:rsidR="00DC6A1F" w:rsidRDefault="009C15A6">
      <w:r>
        <w:t xml:space="preserve">Tijekom 2026. godine s navedenog izvora 43 sredstva koja će se koristiti za fitosanitarnu inspekciju  uključuju pretežno analize uzoraka bilja, biljnih proizvoda, drugih predmeta, štetnih organizama i njihovih prenositelja (vektora) koje će u skladu s važećim propisima iz područja biljnoga zdravstva i službenih kontrola uzimati fitosanitarna inspekcija.  </w:t>
      </w:r>
    </w:p>
    <w:p w14:paraId="2FF3CC1E" w14:textId="77777777" w:rsidR="00DC6A1F" w:rsidRDefault="009C15A6">
      <w:r>
        <w:t xml:space="preserve">Također, na izvoru 43 osigurati će se novčana sredstava za provedbu ovrha i naknada za javnobilježničke usluge za fitosanitarnu inspekciju, opremanje fitosanitarne inspekcije inspekcijskom, informatičkom i drugom potrebnom opremom, kao i jačanje resursa kroz edukacije i stručno usavršavanje, provedbu kontrola i drugih službenih aktivnosti. </w:t>
      </w:r>
    </w:p>
    <w:p w14:paraId="36EA600F" w14:textId="77777777" w:rsidR="00DC6A1F" w:rsidRDefault="009C15A6">
      <w:r>
        <w:t xml:space="preserve">Izmjenom pravnog okvira iz područja biljnog zdravstva kao jednog od područja službenih kontrola, omogućit će se provođenje fitosanitarnih mjera trećom stranom, odnosno putem tvrtki, za što je u idućem razdoblju predviđeno financiranje u okviru Državnog proračuna. </w:t>
      </w:r>
    </w:p>
    <w:p w14:paraId="5873EC06" w14:textId="77777777" w:rsidR="00DC6A1F" w:rsidRDefault="009C15A6">
      <w:r>
        <w:t>U cilju službenih kontrola koje provode poljoprivredni inspektori najveći dio financijskih sredstava u proračunu potrebno je osigurati za provedbu uzorkovanja i troškove koji iz toga proizlaze u svezi usluga provedbe laboratorijskih analiza i dostave uzoraka u laboratorije. To se osobito odnosi na provedbu skupih analiza poput dokazivanja patvorenja hrane, vina i ostalog u službenim laboratorijima izvan Republike Hrvatske odnosno u drugim zemljama članicama Europske unije kada postoji potreba osigurati doda</w:t>
      </w:r>
      <w:r>
        <w:t xml:space="preserve">tna sredstva u iznimnim situacijama poput uočenih određenih promjena na tržištu tijekom godine, zaprimljenih predstavki prijavitelja ili sumnji inspektora tijekom provedbe nadzora kada je nužno uzorkovanje i pored planiranih aktivnosti.   </w:t>
      </w:r>
    </w:p>
    <w:p w14:paraId="72329471" w14:textId="77777777" w:rsidR="00DC6A1F" w:rsidRDefault="009C15A6">
      <w:r>
        <w:t xml:space="preserve">Budući da poljoprivredna inspekcija ne prihodi dovoljno sredstava uplatama pristojbi i naknada za neophodne troškove analize uzoraka, sredstva trebaju biti osigurana na izvoru 11 za provedbu aktivnosti koje proizlaze iz odredbi Zakona o službenim kontrolama i prethodno navedenog Pravilnika te će ista biti korištena za analize uzoraka. </w:t>
      </w:r>
    </w:p>
    <w:p w14:paraId="1975B355" w14:textId="77777777" w:rsidR="00DC6A1F" w:rsidRDefault="009C15A6">
      <w:r>
        <w:t xml:space="preserve">Vezano za aktivnost A673018, kto 3295 Pristojbe i naknade (izvor 11) dodan je iznos od 2.000,00 radi provedbe ovrha i naknada za javnobilježničke usluge za fitosanitarnu inspekciju. </w:t>
      </w:r>
    </w:p>
    <w:p w14:paraId="536D7628" w14:textId="77777777" w:rsidR="00DC6A1F" w:rsidRDefault="009C15A6">
      <w:r>
        <w:t>Stupanjem na snagu Uredbe 2023/1542  i Uredbe 2024/1781 sanitarnoj inspekciji dodijeljena nadležnost kontrole tvari u svim potrošačkim proizvodima s baterijama kao i nadležnost nad zabrinjavajućim tvarima za ekološki dizajn čime će se povećati potrebe provjere sukladnosti odnosno ispravnosti potrošačkih proizvoda koji su pod nadležnosti sanitarne inspekcije. Osim toga uvedene su nove restrikcije u potrošačkim proizvodima po Uredbi 1907/2006 koje stupanju na snagu u traženom razdoblju (2026-2028) poput restr</w:t>
      </w:r>
      <w:r>
        <w:t>ikcija za mikroplastiku za što također treba planirati sredstva.</w:t>
      </w:r>
    </w:p>
    <w:p w14:paraId="295AB1CD" w14:textId="77777777" w:rsidR="00DC6A1F" w:rsidRDefault="009C15A6">
      <w:pPr>
        <w:pStyle w:val="Naslov8"/>
        <w:jc w:val="left"/>
      </w:pPr>
      <w:r>
        <w:t>Pokazatelji rezultata</w:t>
      </w:r>
    </w:p>
    <w:tbl>
      <w:tblPr>
        <w:tblStyle w:val="StilTablice"/>
        <w:tblW w:w="10206" w:type="dxa"/>
        <w:jc w:val="center"/>
        <w:tblLook w:val="04A0" w:firstRow="1" w:lastRow="0" w:firstColumn="1" w:lastColumn="0" w:noHBand="0" w:noVBand="1"/>
      </w:tblPr>
      <w:tblGrid>
        <w:gridCol w:w="1836"/>
        <w:gridCol w:w="1836"/>
        <w:gridCol w:w="1578"/>
        <w:gridCol w:w="916"/>
        <w:gridCol w:w="1292"/>
        <w:gridCol w:w="916"/>
        <w:gridCol w:w="916"/>
        <w:gridCol w:w="916"/>
      </w:tblGrid>
      <w:tr w:rsidR="00DC6A1F" w14:paraId="43B10A35" w14:textId="77777777">
        <w:trPr>
          <w:jc w:val="center"/>
        </w:trPr>
        <w:tc>
          <w:tcPr>
            <w:tcW w:w="2245" w:type="dxa"/>
            <w:shd w:val="clear" w:color="auto" w:fill="B5C0D8"/>
          </w:tcPr>
          <w:p w14:paraId="1763D413" w14:textId="77777777" w:rsidR="00DC6A1F" w:rsidRDefault="009C15A6">
            <w:r>
              <w:t>Pokazatelj rezultata</w:t>
            </w:r>
          </w:p>
        </w:tc>
        <w:tc>
          <w:tcPr>
            <w:tcW w:w="2245" w:type="dxa"/>
            <w:shd w:val="clear" w:color="auto" w:fill="B5C0D8"/>
          </w:tcPr>
          <w:p w14:paraId="6BCBA522" w14:textId="77777777" w:rsidR="00DC6A1F" w:rsidRDefault="009C15A6">
            <w:pPr>
              <w:pStyle w:val="CellHeader"/>
            </w:pPr>
            <w:r>
              <w:rPr>
                <w:rFonts w:cs="Times New Roman"/>
              </w:rPr>
              <w:t>Definicija</w:t>
            </w:r>
          </w:p>
        </w:tc>
        <w:tc>
          <w:tcPr>
            <w:tcW w:w="2245" w:type="dxa"/>
            <w:shd w:val="clear" w:color="auto" w:fill="B5C0D8"/>
          </w:tcPr>
          <w:p w14:paraId="7E8AE715" w14:textId="77777777" w:rsidR="00DC6A1F" w:rsidRDefault="009C15A6">
            <w:pPr>
              <w:pStyle w:val="CellHeader"/>
            </w:pPr>
            <w:r>
              <w:rPr>
                <w:rFonts w:cs="Times New Roman"/>
              </w:rPr>
              <w:t>Jedinica</w:t>
            </w:r>
          </w:p>
        </w:tc>
        <w:tc>
          <w:tcPr>
            <w:tcW w:w="918" w:type="dxa"/>
            <w:shd w:val="clear" w:color="auto" w:fill="B5C0D8"/>
          </w:tcPr>
          <w:p w14:paraId="31D019D3" w14:textId="77777777" w:rsidR="00DC6A1F" w:rsidRDefault="009C15A6">
            <w:pPr>
              <w:pStyle w:val="CellHeader"/>
            </w:pPr>
            <w:r>
              <w:rPr>
                <w:rFonts w:cs="Times New Roman"/>
              </w:rPr>
              <w:t>Polazna vrijednost</w:t>
            </w:r>
          </w:p>
        </w:tc>
        <w:tc>
          <w:tcPr>
            <w:tcW w:w="918" w:type="dxa"/>
            <w:shd w:val="clear" w:color="auto" w:fill="B5C0D8"/>
          </w:tcPr>
          <w:p w14:paraId="177B7D9C" w14:textId="77777777" w:rsidR="00DC6A1F" w:rsidRDefault="009C15A6">
            <w:pPr>
              <w:pStyle w:val="CellHeader"/>
            </w:pPr>
            <w:r>
              <w:rPr>
                <w:rFonts w:cs="Times New Roman"/>
              </w:rPr>
              <w:t>Izvor podataka</w:t>
            </w:r>
          </w:p>
        </w:tc>
        <w:tc>
          <w:tcPr>
            <w:tcW w:w="918" w:type="dxa"/>
            <w:shd w:val="clear" w:color="auto" w:fill="B5C0D8"/>
          </w:tcPr>
          <w:p w14:paraId="778E87DC" w14:textId="77777777" w:rsidR="00DC6A1F" w:rsidRDefault="009C15A6">
            <w:pPr>
              <w:pStyle w:val="CellHeader"/>
            </w:pPr>
            <w:r>
              <w:rPr>
                <w:rFonts w:cs="Times New Roman"/>
              </w:rPr>
              <w:t>Ciljana vrijednost (2026.)</w:t>
            </w:r>
          </w:p>
        </w:tc>
        <w:tc>
          <w:tcPr>
            <w:tcW w:w="918" w:type="dxa"/>
            <w:shd w:val="clear" w:color="auto" w:fill="B5C0D8"/>
          </w:tcPr>
          <w:p w14:paraId="31FEF9FC" w14:textId="77777777" w:rsidR="00DC6A1F" w:rsidRDefault="009C15A6">
            <w:pPr>
              <w:pStyle w:val="CellHeader"/>
            </w:pPr>
            <w:r>
              <w:rPr>
                <w:rFonts w:cs="Times New Roman"/>
              </w:rPr>
              <w:t>Ciljana vrijednost (2027.)</w:t>
            </w:r>
          </w:p>
        </w:tc>
        <w:tc>
          <w:tcPr>
            <w:tcW w:w="918" w:type="dxa"/>
            <w:shd w:val="clear" w:color="auto" w:fill="B5C0D8"/>
          </w:tcPr>
          <w:p w14:paraId="1DC90427" w14:textId="77777777" w:rsidR="00DC6A1F" w:rsidRDefault="009C15A6">
            <w:pPr>
              <w:pStyle w:val="CellHeader"/>
            </w:pPr>
            <w:r>
              <w:rPr>
                <w:rFonts w:cs="Times New Roman"/>
              </w:rPr>
              <w:t>Ciljana vrijednost (2028.)</w:t>
            </w:r>
          </w:p>
        </w:tc>
      </w:tr>
      <w:tr w:rsidR="00DC6A1F" w14:paraId="667A88DA" w14:textId="77777777">
        <w:trPr>
          <w:jc w:val="center"/>
        </w:trPr>
        <w:tc>
          <w:tcPr>
            <w:tcW w:w="2245" w:type="dxa"/>
          </w:tcPr>
          <w:p w14:paraId="79E17C60" w14:textId="77777777" w:rsidR="00DC6A1F" w:rsidRDefault="009C15A6">
            <w:pPr>
              <w:pStyle w:val="CellColumn"/>
            </w:pPr>
            <w:r>
              <w:rPr>
                <w:rFonts w:cs="Times New Roman"/>
              </w:rPr>
              <w:t>% provedenih inspekcijskih nadzora sanitarnih inspektora u odnosu na planirane</w:t>
            </w:r>
          </w:p>
        </w:tc>
        <w:tc>
          <w:tcPr>
            <w:tcW w:w="2245" w:type="dxa"/>
          </w:tcPr>
          <w:p w14:paraId="5A6D6902" w14:textId="77777777" w:rsidR="00DC6A1F" w:rsidRDefault="009C15A6">
            <w:pPr>
              <w:pStyle w:val="CellColumn"/>
            </w:pPr>
            <w:r>
              <w:rPr>
                <w:rFonts w:cs="Times New Roman"/>
              </w:rPr>
              <w:t>Provedeni inspekcijski nadzori iz djelokruga rada sanitarne inspekcije, osim službenih kontrola hrane</w:t>
            </w:r>
          </w:p>
        </w:tc>
        <w:tc>
          <w:tcPr>
            <w:tcW w:w="918" w:type="dxa"/>
          </w:tcPr>
          <w:p w14:paraId="32624E90" w14:textId="77777777" w:rsidR="00DC6A1F" w:rsidRDefault="009C15A6">
            <w:pPr>
              <w:pStyle w:val="CellColumn"/>
            </w:pPr>
            <w:r>
              <w:rPr>
                <w:rFonts w:cs="Times New Roman"/>
              </w:rPr>
              <w:t>Postotak</w:t>
            </w:r>
          </w:p>
        </w:tc>
        <w:tc>
          <w:tcPr>
            <w:tcW w:w="918" w:type="dxa"/>
          </w:tcPr>
          <w:p w14:paraId="006CC62E" w14:textId="77777777" w:rsidR="00DC6A1F" w:rsidRDefault="009C15A6">
            <w:pPr>
              <w:pStyle w:val="CellColumn"/>
            </w:pPr>
            <w:r>
              <w:rPr>
                <w:rFonts w:cs="Times New Roman"/>
              </w:rPr>
              <w:t>100</w:t>
            </w:r>
          </w:p>
        </w:tc>
        <w:tc>
          <w:tcPr>
            <w:tcW w:w="918" w:type="dxa"/>
          </w:tcPr>
          <w:p w14:paraId="67FB7A59" w14:textId="77777777" w:rsidR="00DC6A1F" w:rsidRDefault="009C15A6">
            <w:pPr>
              <w:pStyle w:val="CellColumn"/>
            </w:pPr>
            <w:r>
              <w:rPr>
                <w:rFonts w:cs="Times New Roman"/>
              </w:rPr>
              <w:t>Godišnje izvješće o radu veterinarske inspekcije</w:t>
            </w:r>
          </w:p>
        </w:tc>
        <w:tc>
          <w:tcPr>
            <w:tcW w:w="918" w:type="dxa"/>
          </w:tcPr>
          <w:p w14:paraId="3591858C" w14:textId="77777777" w:rsidR="00DC6A1F" w:rsidRDefault="009C15A6">
            <w:pPr>
              <w:pStyle w:val="CellColumn"/>
            </w:pPr>
            <w:r>
              <w:rPr>
                <w:rFonts w:cs="Times New Roman"/>
              </w:rPr>
              <w:t>100</w:t>
            </w:r>
          </w:p>
        </w:tc>
        <w:tc>
          <w:tcPr>
            <w:tcW w:w="918" w:type="dxa"/>
          </w:tcPr>
          <w:p w14:paraId="2ABD094D" w14:textId="77777777" w:rsidR="00DC6A1F" w:rsidRDefault="009C15A6">
            <w:pPr>
              <w:pStyle w:val="CellColumn"/>
            </w:pPr>
            <w:r>
              <w:rPr>
                <w:rFonts w:cs="Times New Roman"/>
              </w:rPr>
              <w:t>100</w:t>
            </w:r>
          </w:p>
        </w:tc>
        <w:tc>
          <w:tcPr>
            <w:tcW w:w="918" w:type="dxa"/>
          </w:tcPr>
          <w:p w14:paraId="311AA6B7" w14:textId="77777777" w:rsidR="00DC6A1F" w:rsidRDefault="009C15A6">
            <w:pPr>
              <w:pStyle w:val="CellColumn"/>
            </w:pPr>
            <w:r>
              <w:rPr>
                <w:rFonts w:cs="Times New Roman"/>
              </w:rPr>
              <w:t>100</w:t>
            </w:r>
          </w:p>
        </w:tc>
      </w:tr>
      <w:tr w:rsidR="00DC6A1F" w14:paraId="70B23BF9" w14:textId="77777777">
        <w:trPr>
          <w:jc w:val="center"/>
        </w:trPr>
        <w:tc>
          <w:tcPr>
            <w:tcW w:w="2245" w:type="dxa"/>
          </w:tcPr>
          <w:p w14:paraId="05E11340" w14:textId="77777777" w:rsidR="00DC6A1F" w:rsidRDefault="009C15A6">
            <w:pPr>
              <w:pStyle w:val="CellColumn"/>
            </w:pPr>
            <w:r>
              <w:rPr>
                <w:rFonts w:cs="Times New Roman"/>
              </w:rPr>
              <w:t>% provedenih službenih kontrola sanitarnih inspektora u području sigurnosti hrane u odnosu na planirane</w:t>
            </w:r>
          </w:p>
        </w:tc>
        <w:tc>
          <w:tcPr>
            <w:tcW w:w="2245" w:type="dxa"/>
          </w:tcPr>
          <w:p w14:paraId="26AC41FD" w14:textId="77777777" w:rsidR="00DC6A1F" w:rsidRDefault="009C15A6">
            <w:pPr>
              <w:pStyle w:val="CellColumn"/>
            </w:pPr>
            <w:r>
              <w:rPr>
                <w:rFonts w:cs="Times New Roman"/>
              </w:rPr>
              <w:t>Provedeni službene kontrole u području sigurnosti hrane iz djelokruga sanitarne inspekcije</w:t>
            </w:r>
          </w:p>
        </w:tc>
        <w:tc>
          <w:tcPr>
            <w:tcW w:w="918" w:type="dxa"/>
          </w:tcPr>
          <w:p w14:paraId="396C422E" w14:textId="77777777" w:rsidR="00DC6A1F" w:rsidRDefault="009C15A6">
            <w:pPr>
              <w:pStyle w:val="CellColumn"/>
            </w:pPr>
            <w:r>
              <w:rPr>
                <w:rFonts w:cs="Times New Roman"/>
              </w:rPr>
              <w:t>Postotak</w:t>
            </w:r>
          </w:p>
        </w:tc>
        <w:tc>
          <w:tcPr>
            <w:tcW w:w="918" w:type="dxa"/>
          </w:tcPr>
          <w:p w14:paraId="0933AC31" w14:textId="77777777" w:rsidR="00DC6A1F" w:rsidRDefault="009C15A6">
            <w:pPr>
              <w:pStyle w:val="CellColumn"/>
            </w:pPr>
            <w:r>
              <w:rPr>
                <w:rFonts w:cs="Times New Roman"/>
              </w:rPr>
              <w:t>100</w:t>
            </w:r>
          </w:p>
        </w:tc>
        <w:tc>
          <w:tcPr>
            <w:tcW w:w="918" w:type="dxa"/>
          </w:tcPr>
          <w:p w14:paraId="1E61803C" w14:textId="77777777" w:rsidR="00DC6A1F" w:rsidRDefault="009C15A6">
            <w:pPr>
              <w:pStyle w:val="CellColumn"/>
            </w:pPr>
            <w:r>
              <w:rPr>
                <w:rFonts w:cs="Times New Roman"/>
              </w:rPr>
              <w:t>Godišnje izvješće o radu sanitarne</w:t>
            </w:r>
          </w:p>
        </w:tc>
        <w:tc>
          <w:tcPr>
            <w:tcW w:w="918" w:type="dxa"/>
          </w:tcPr>
          <w:p w14:paraId="1D814CA0" w14:textId="77777777" w:rsidR="00DC6A1F" w:rsidRDefault="009C15A6">
            <w:pPr>
              <w:pStyle w:val="CellColumn"/>
            </w:pPr>
            <w:r>
              <w:rPr>
                <w:rFonts w:cs="Times New Roman"/>
              </w:rPr>
              <w:t>100</w:t>
            </w:r>
          </w:p>
        </w:tc>
        <w:tc>
          <w:tcPr>
            <w:tcW w:w="918" w:type="dxa"/>
          </w:tcPr>
          <w:p w14:paraId="04654CE7" w14:textId="77777777" w:rsidR="00DC6A1F" w:rsidRDefault="009C15A6">
            <w:pPr>
              <w:pStyle w:val="CellColumn"/>
            </w:pPr>
            <w:r>
              <w:rPr>
                <w:rFonts w:cs="Times New Roman"/>
              </w:rPr>
              <w:t>100</w:t>
            </w:r>
          </w:p>
        </w:tc>
        <w:tc>
          <w:tcPr>
            <w:tcW w:w="918" w:type="dxa"/>
          </w:tcPr>
          <w:p w14:paraId="3D43E4ED" w14:textId="77777777" w:rsidR="00DC6A1F" w:rsidRDefault="009C15A6">
            <w:pPr>
              <w:pStyle w:val="CellColumn"/>
            </w:pPr>
            <w:r>
              <w:rPr>
                <w:rFonts w:cs="Times New Roman"/>
              </w:rPr>
              <w:t>100</w:t>
            </w:r>
          </w:p>
        </w:tc>
      </w:tr>
      <w:tr w:rsidR="00DC6A1F" w14:paraId="7C36C4D2" w14:textId="77777777">
        <w:trPr>
          <w:jc w:val="center"/>
        </w:trPr>
        <w:tc>
          <w:tcPr>
            <w:tcW w:w="2245" w:type="dxa"/>
          </w:tcPr>
          <w:p w14:paraId="00B3C489" w14:textId="77777777" w:rsidR="00DC6A1F" w:rsidRDefault="009C15A6">
            <w:pPr>
              <w:pStyle w:val="CellColumn"/>
            </w:pPr>
            <w:r>
              <w:rPr>
                <w:rFonts w:cs="Times New Roman"/>
              </w:rPr>
              <w:t>% provedenih inspekcijskih nadzora fitosanitarne i poljoprivredne inspekcije</w:t>
            </w:r>
          </w:p>
        </w:tc>
        <w:tc>
          <w:tcPr>
            <w:tcW w:w="2245" w:type="dxa"/>
          </w:tcPr>
          <w:p w14:paraId="0B875FAA" w14:textId="77777777" w:rsidR="00DC6A1F" w:rsidRDefault="009C15A6">
            <w:pPr>
              <w:pStyle w:val="CellColumn"/>
            </w:pPr>
            <w:r>
              <w:rPr>
                <w:rFonts w:cs="Times New Roman"/>
              </w:rPr>
              <w:t>Provedeni inspekcijski nadzori fitosanitarne i poljoprivredne  inspekcije</w:t>
            </w:r>
          </w:p>
        </w:tc>
        <w:tc>
          <w:tcPr>
            <w:tcW w:w="918" w:type="dxa"/>
          </w:tcPr>
          <w:p w14:paraId="636DB075" w14:textId="77777777" w:rsidR="00DC6A1F" w:rsidRDefault="009C15A6">
            <w:pPr>
              <w:pStyle w:val="CellColumn"/>
            </w:pPr>
            <w:r>
              <w:rPr>
                <w:rFonts w:cs="Times New Roman"/>
              </w:rPr>
              <w:t>Postotak</w:t>
            </w:r>
          </w:p>
        </w:tc>
        <w:tc>
          <w:tcPr>
            <w:tcW w:w="918" w:type="dxa"/>
          </w:tcPr>
          <w:p w14:paraId="02176A96" w14:textId="77777777" w:rsidR="00DC6A1F" w:rsidRDefault="009C15A6">
            <w:pPr>
              <w:pStyle w:val="CellColumn"/>
            </w:pPr>
            <w:r>
              <w:rPr>
                <w:rFonts w:cs="Times New Roman"/>
              </w:rPr>
              <w:t>90</w:t>
            </w:r>
          </w:p>
        </w:tc>
        <w:tc>
          <w:tcPr>
            <w:tcW w:w="918" w:type="dxa"/>
          </w:tcPr>
          <w:p w14:paraId="5760B1D7" w14:textId="77777777" w:rsidR="00DC6A1F" w:rsidRDefault="009C15A6">
            <w:pPr>
              <w:pStyle w:val="CellColumn"/>
            </w:pPr>
            <w:r>
              <w:rPr>
                <w:rFonts w:cs="Times New Roman"/>
              </w:rPr>
              <w:t>Godišnje izvješće o radu fitosanitarne i poljoprivredne  inspekcije</w:t>
            </w:r>
          </w:p>
        </w:tc>
        <w:tc>
          <w:tcPr>
            <w:tcW w:w="918" w:type="dxa"/>
          </w:tcPr>
          <w:p w14:paraId="33936B89" w14:textId="77777777" w:rsidR="00DC6A1F" w:rsidRDefault="009C15A6">
            <w:pPr>
              <w:pStyle w:val="CellColumn"/>
            </w:pPr>
            <w:r>
              <w:rPr>
                <w:rFonts w:cs="Times New Roman"/>
              </w:rPr>
              <w:t>90</w:t>
            </w:r>
          </w:p>
        </w:tc>
        <w:tc>
          <w:tcPr>
            <w:tcW w:w="918" w:type="dxa"/>
          </w:tcPr>
          <w:p w14:paraId="39913CDD" w14:textId="77777777" w:rsidR="00DC6A1F" w:rsidRDefault="009C15A6">
            <w:pPr>
              <w:pStyle w:val="CellColumn"/>
            </w:pPr>
            <w:r>
              <w:rPr>
                <w:rFonts w:cs="Times New Roman"/>
              </w:rPr>
              <w:t>90</w:t>
            </w:r>
          </w:p>
        </w:tc>
        <w:tc>
          <w:tcPr>
            <w:tcW w:w="918" w:type="dxa"/>
          </w:tcPr>
          <w:p w14:paraId="13D8B8D0" w14:textId="77777777" w:rsidR="00DC6A1F" w:rsidRDefault="009C15A6">
            <w:pPr>
              <w:pStyle w:val="CellColumn"/>
            </w:pPr>
            <w:r>
              <w:rPr>
                <w:rFonts w:cs="Times New Roman"/>
              </w:rPr>
              <w:t>90</w:t>
            </w:r>
          </w:p>
        </w:tc>
      </w:tr>
      <w:tr w:rsidR="00DC6A1F" w14:paraId="3D331120" w14:textId="77777777">
        <w:trPr>
          <w:jc w:val="center"/>
        </w:trPr>
        <w:tc>
          <w:tcPr>
            <w:tcW w:w="2245" w:type="dxa"/>
          </w:tcPr>
          <w:p w14:paraId="5C29B482" w14:textId="77777777" w:rsidR="00DC6A1F" w:rsidRDefault="009C15A6">
            <w:pPr>
              <w:pStyle w:val="CellColumn"/>
            </w:pPr>
            <w:r>
              <w:rPr>
                <w:rFonts w:cs="Times New Roman"/>
              </w:rPr>
              <w:t>Izvršene laboratorijske analize uzoraka bilja i štetnih organizama</w:t>
            </w:r>
          </w:p>
        </w:tc>
        <w:tc>
          <w:tcPr>
            <w:tcW w:w="2245" w:type="dxa"/>
          </w:tcPr>
          <w:p w14:paraId="46FEC1C2" w14:textId="77777777" w:rsidR="00DC6A1F" w:rsidRDefault="009C15A6">
            <w:pPr>
              <w:pStyle w:val="CellColumn"/>
            </w:pPr>
            <w:r>
              <w:rPr>
                <w:rFonts w:cs="Times New Roman"/>
              </w:rPr>
              <w:t>Utvrđivanje prisutnosti ili odsutnosti štetnih organizama u uzorcima i determinacija štetnih organizama</w:t>
            </w:r>
          </w:p>
        </w:tc>
        <w:tc>
          <w:tcPr>
            <w:tcW w:w="918" w:type="dxa"/>
          </w:tcPr>
          <w:p w14:paraId="365C03D9" w14:textId="77777777" w:rsidR="00DC6A1F" w:rsidRDefault="009C15A6">
            <w:pPr>
              <w:pStyle w:val="CellColumn"/>
            </w:pPr>
            <w:r>
              <w:rPr>
                <w:rFonts w:cs="Times New Roman"/>
              </w:rPr>
              <w:t>Postotak</w:t>
            </w:r>
          </w:p>
        </w:tc>
        <w:tc>
          <w:tcPr>
            <w:tcW w:w="918" w:type="dxa"/>
          </w:tcPr>
          <w:p w14:paraId="030C638B" w14:textId="77777777" w:rsidR="00DC6A1F" w:rsidRDefault="009C15A6">
            <w:pPr>
              <w:pStyle w:val="CellColumn"/>
            </w:pPr>
            <w:r>
              <w:rPr>
                <w:rFonts w:cs="Times New Roman"/>
              </w:rPr>
              <w:t>50</w:t>
            </w:r>
          </w:p>
        </w:tc>
        <w:tc>
          <w:tcPr>
            <w:tcW w:w="918" w:type="dxa"/>
          </w:tcPr>
          <w:p w14:paraId="0D537875" w14:textId="77777777" w:rsidR="00DC6A1F" w:rsidRDefault="009C15A6">
            <w:pPr>
              <w:pStyle w:val="CellColumn"/>
            </w:pPr>
            <w:r>
              <w:rPr>
                <w:rFonts w:cs="Times New Roman"/>
              </w:rPr>
              <w:t>Evidencija o uzetim uzorcima, eventualna aplikativna rješenja</w:t>
            </w:r>
          </w:p>
        </w:tc>
        <w:tc>
          <w:tcPr>
            <w:tcW w:w="918" w:type="dxa"/>
          </w:tcPr>
          <w:p w14:paraId="5640D362" w14:textId="77777777" w:rsidR="00DC6A1F" w:rsidRDefault="009C15A6">
            <w:pPr>
              <w:pStyle w:val="CellColumn"/>
            </w:pPr>
            <w:r>
              <w:rPr>
                <w:rFonts w:cs="Times New Roman"/>
              </w:rPr>
              <w:t>60</w:t>
            </w:r>
          </w:p>
        </w:tc>
        <w:tc>
          <w:tcPr>
            <w:tcW w:w="918" w:type="dxa"/>
          </w:tcPr>
          <w:p w14:paraId="0FFA2DE3" w14:textId="77777777" w:rsidR="00DC6A1F" w:rsidRDefault="009C15A6">
            <w:pPr>
              <w:pStyle w:val="CellColumn"/>
            </w:pPr>
            <w:r>
              <w:rPr>
                <w:rFonts w:cs="Times New Roman"/>
              </w:rPr>
              <w:t>60</w:t>
            </w:r>
          </w:p>
        </w:tc>
        <w:tc>
          <w:tcPr>
            <w:tcW w:w="918" w:type="dxa"/>
          </w:tcPr>
          <w:p w14:paraId="0BBF191C" w14:textId="77777777" w:rsidR="00DC6A1F" w:rsidRDefault="009C15A6">
            <w:pPr>
              <w:pStyle w:val="CellColumn"/>
            </w:pPr>
            <w:r>
              <w:rPr>
                <w:rFonts w:cs="Times New Roman"/>
              </w:rPr>
              <w:t>60</w:t>
            </w:r>
          </w:p>
        </w:tc>
      </w:tr>
      <w:tr w:rsidR="00DC6A1F" w14:paraId="5FAA91FC" w14:textId="77777777">
        <w:trPr>
          <w:jc w:val="center"/>
        </w:trPr>
        <w:tc>
          <w:tcPr>
            <w:tcW w:w="2245" w:type="dxa"/>
          </w:tcPr>
          <w:p w14:paraId="6B24DD2D" w14:textId="77777777" w:rsidR="00DC6A1F" w:rsidRDefault="009C15A6">
            <w:pPr>
              <w:pStyle w:val="CellColumn"/>
            </w:pPr>
            <w:r>
              <w:rPr>
                <w:rFonts w:cs="Times New Roman"/>
              </w:rPr>
              <w:t>Izvršene laboratorijske analize hrane, vina i dr.</w:t>
            </w:r>
          </w:p>
        </w:tc>
        <w:tc>
          <w:tcPr>
            <w:tcW w:w="2245" w:type="dxa"/>
          </w:tcPr>
          <w:p w14:paraId="0045FE6A" w14:textId="77777777" w:rsidR="00DC6A1F" w:rsidRDefault="009C15A6">
            <w:pPr>
              <w:pStyle w:val="CellColumn"/>
            </w:pPr>
            <w:r>
              <w:rPr>
                <w:rFonts w:cs="Times New Roman"/>
              </w:rPr>
              <w:t>Kvaliteta i patvorenje</w:t>
            </w:r>
          </w:p>
        </w:tc>
        <w:tc>
          <w:tcPr>
            <w:tcW w:w="918" w:type="dxa"/>
          </w:tcPr>
          <w:p w14:paraId="183DCDC0" w14:textId="77777777" w:rsidR="00DC6A1F" w:rsidRDefault="009C15A6">
            <w:pPr>
              <w:pStyle w:val="CellColumn"/>
            </w:pPr>
            <w:r>
              <w:rPr>
                <w:rFonts w:cs="Times New Roman"/>
              </w:rPr>
              <w:t>Postotak</w:t>
            </w:r>
          </w:p>
        </w:tc>
        <w:tc>
          <w:tcPr>
            <w:tcW w:w="918" w:type="dxa"/>
          </w:tcPr>
          <w:p w14:paraId="160AFCCC" w14:textId="77777777" w:rsidR="00DC6A1F" w:rsidRDefault="009C15A6">
            <w:pPr>
              <w:pStyle w:val="CellColumn"/>
            </w:pPr>
            <w:r>
              <w:rPr>
                <w:rFonts w:cs="Times New Roman"/>
              </w:rPr>
              <w:t>100</w:t>
            </w:r>
          </w:p>
        </w:tc>
        <w:tc>
          <w:tcPr>
            <w:tcW w:w="918" w:type="dxa"/>
          </w:tcPr>
          <w:p w14:paraId="3E90C8E0" w14:textId="77777777" w:rsidR="00DC6A1F" w:rsidRDefault="009C15A6">
            <w:pPr>
              <w:pStyle w:val="CellColumn"/>
            </w:pPr>
            <w:r>
              <w:rPr>
                <w:rFonts w:cs="Times New Roman"/>
              </w:rPr>
              <w:t>Izvješća o uzorkovanim proizvodima</w:t>
            </w:r>
          </w:p>
        </w:tc>
        <w:tc>
          <w:tcPr>
            <w:tcW w:w="918" w:type="dxa"/>
          </w:tcPr>
          <w:p w14:paraId="53771033" w14:textId="77777777" w:rsidR="00DC6A1F" w:rsidRDefault="009C15A6">
            <w:pPr>
              <w:pStyle w:val="CellColumn"/>
            </w:pPr>
            <w:r>
              <w:rPr>
                <w:rFonts w:cs="Times New Roman"/>
              </w:rPr>
              <w:t>100</w:t>
            </w:r>
          </w:p>
        </w:tc>
        <w:tc>
          <w:tcPr>
            <w:tcW w:w="918" w:type="dxa"/>
          </w:tcPr>
          <w:p w14:paraId="19B543E1" w14:textId="77777777" w:rsidR="00DC6A1F" w:rsidRDefault="009C15A6">
            <w:pPr>
              <w:pStyle w:val="CellColumn"/>
            </w:pPr>
            <w:r>
              <w:rPr>
                <w:rFonts w:cs="Times New Roman"/>
              </w:rPr>
              <w:t>100</w:t>
            </w:r>
          </w:p>
        </w:tc>
        <w:tc>
          <w:tcPr>
            <w:tcW w:w="918" w:type="dxa"/>
          </w:tcPr>
          <w:p w14:paraId="59F9CFED" w14:textId="77777777" w:rsidR="00DC6A1F" w:rsidRDefault="009C15A6">
            <w:pPr>
              <w:pStyle w:val="CellColumn"/>
            </w:pPr>
            <w:r>
              <w:rPr>
                <w:rFonts w:cs="Times New Roman"/>
              </w:rPr>
              <w:t>100</w:t>
            </w:r>
          </w:p>
        </w:tc>
      </w:tr>
      <w:tr w:rsidR="00DC6A1F" w14:paraId="7ECAC884" w14:textId="77777777">
        <w:trPr>
          <w:jc w:val="center"/>
        </w:trPr>
        <w:tc>
          <w:tcPr>
            <w:tcW w:w="2245" w:type="dxa"/>
          </w:tcPr>
          <w:p w14:paraId="2DAF570D" w14:textId="77777777" w:rsidR="00DC6A1F" w:rsidRDefault="009C15A6">
            <w:pPr>
              <w:pStyle w:val="CellColumn"/>
            </w:pPr>
            <w:r>
              <w:rPr>
                <w:rFonts w:cs="Times New Roman"/>
              </w:rPr>
              <w:t>Jačanje resursa kroz provedene edukacije fitosanitarnih i poljoprivrednih inspektora</w:t>
            </w:r>
          </w:p>
        </w:tc>
        <w:tc>
          <w:tcPr>
            <w:tcW w:w="2245" w:type="dxa"/>
          </w:tcPr>
          <w:p w14:paraId="3AAB53C8" w14:textId="77777777" w:rsidR="00DC6A1F" w:rsidRDefault="009C15A6">
            <w:pPr>
              <w:pStyle w:val="CellColumn"/>
            </w:pPr>
            <w:r>
              <w:rPr>
                <w:rFonts w:cs="Times New Roman"/>
              </w:rPr>
              <w:t>Educiranje i stručno usavršavanje fitosanitarnih i poljoprivrednih inspektora</w:t>
            </w:r>
          </w:p>
        </w:tc>
        <w:tc>
          <w:tcPr>
            <w:tcW w:w="918" w:type="dxa"/>
          </w:tcPr>
          <w:p w14:paraId="59B9F320" w14:textId="77777777" w:rsidR="00DC6A1F" w:rsidRDefault="009C15A6">
            <w:pPr>
              <w:pStyle w:val="CellColumn"/>
            </w:pPr>
            <w:r>
              <w:rPr>
                <w:rFonts w:cs="Times New Roman"/>
              </w:rPr>
              <w:t>Postotak</w:t>
            </w:r>
          </w:p>
        </w:tc>
        <w:tc>
          <w:tcPr>
            <w:tcW w:w="918" w:type="dxa"/>
          </w:tcPr>
          <w:p w14:paraId="4DB0F9CD" w14:textId="77777777" w:rsidR="00DC6A1F" w:rsidRDefault="009C15A6">
            <w:pPr>
              <w:pStyle w:val="CellColumn"/>
            </w:pPr>
            <w:r>
              <w:rPr>
                <w:rFonts w:cs="Times New Roman"/>
              </w:rPr>
              <w:t>90</w:t>
            </w:r>
          </w:p>
        </w:tc>
        <w:tc>
          <w:tcPr>
            <w:tcW w:w="918" w:type="dxa"/>
          </w:tcPr>
          <w:p w14:paraId="196C0BE3" w14:textId="77777777" w:rsidR="00DC6A1F" w:rsidRDefault="009C15A6">
            <w:pPr>
              <w:pStyle w:val="CellColumn"/>
            </w:pPr>
            <w:r>
              <w:rPr>
                <w:rFonts w:cs="Times New Roman"/>
              </w:rPr>
              <w:t>Evidencija o stručnom usavršavanju</w:t>
            </w:r>
          </w:p>
        </w:tc>
        <w:tc>
          <w:tcPr>
            <w:tcW w:w="918" w:type="dxa"/>
          </w:tcPr>
          <w:p w14:paraId="6110B1D8" w14:textId="77777777" w:rsidR="00DC6A1F" w:rsidRDefault="009C15A6">
            <w:pPr>
              <w:pStyle w:val="CellColumn"/>
            </w:pPr>
            <w:r>
              <w:rPr>
                <w:rFonts w:cs="Times New Roman"/>
              </w:rPr>
              <w:t>90</w:t>
            </w:r>
          </w:p>
        </w:tc>
        <w:tc>
          <w:tcPr>
            <w:tcW w:w="918" w:type="dxa"/>
          </w:tcPr>
          <w:p w14:paraId="58839604" w14:textId="77777777" w:rsidR="00DC6A1F" w:rsidRDefault="009C15A6">
            <w:pPr>
              <w:pStyle w:val="CellColumn"/>
            </w:pPr>
            <w:r>
              <w:rPr>
                <w:rFonts w:cs="Times New Roman"/>
              </w:rPr>
              <w:t>90</w:t>
            </w:r>
          </w:p>
        </w:tc>
        <w:tc>
          <w:tcPr>
            <w:tcW w:w="918" w:type="dxa"/>
          </w:tcPr>
          <w:p w14:paraId="4B1EFC88" w14:textId="77777777" w:rsidR="00DC6A1F" w:rsidRDefault="009C15A6">
            <w:pPr>
              <w:pStyle w:val="CellColumn"/>
            </w:pPr>
            <w:r>
              <w:rPr>
                <w:rFonts w:cs="Times New Roman"/>
              </w:rPr>
              <w:t>90</w:t>
            </w:r>
          </w:p>
        </w:tc>
      </w:tr>
      <w:tr w:rsidR="00DC6A1F" w14:paraId="300C4772" w14:textId="77777777">
        <w:trPr>
          <w:jc w:val="center"/>
        </w:trPr>
        <w:tc>
          <w:tcPr>
            <w:tcW w:w="2245" w:type="dxa"/>
          </w:tcPr>
          <w:p w14:paraId="447B6B5C" w14:textId="77777777" w:rsidR="00DC6A1F" w:rsidRDefault="009C15A6">
            <w:pPr>
              <w:pStyle w:val="CellColumn"/>
            </w:pPr>
            <w:r>
              <w:rPr>
                <w:rFonts w:cs="Times New Roman"/>
              </w:rPr>
              <w:t>% provedenih inspekcijskih nadzora i kontrola veterinarskih inspektora u odnosu na planirane</w:t>
            </w:r>
          </w:p>
        </w:tc>
        <w:tc>
          <w:tcPr>
            <w:tcW w:w="2245" w:type="dxa"/>
          </w:tcPr>
          <w:p w14:paraId="4DD2888E" w14:textId="77777777" w:rsidR="00DC6A1F" w:rsidRDefault="009C15A6">
            <w:pPr>
              <w:pStyle w:val="CellColumn"/>
            </w:pPr>
            <w:r>
              <w:rPr>
                <w:rFonts w:cs="Times New Roman"/>
              </w:rPr>
              <w:t>Provedeni inspekcijski nadzori veterinarske inspekcije</w:t>
            </w:r>
          </w:p>
        </w:tc>
        <w:tc>
          <w:tcPr>
            <w:tcW w:w="918" w:type="dxa"/>
          </w:tcPr>
          <w:p w14:paraId="20CD8B27" w14:textId="77777777" w:rsidR="00DC6A1F" w:rsidRDefault="009C15A6">
            <w:pPr>
              <w:pStyle w:val="CellColumn"/>
            </w:pPr>
            <w:r>
              <w:rPr>
                <w:rFonts w:cs="Times New Roman"/>
              </w:rPr>
              <w:t>Postotak</w:t>
            </w:r>
          </w:p>
        </w:tc>
        <w:tc>
          <w:tcPr>
            <w:tcW w:w="918" w:type="dxa"/>
          </w:tcPr>
          <w:p w14:paraId="0860094C" w14:textId="77777777" w:rsidR="00DC6A1F" w:rsidRDefault="009C15A6">
            <w:pPr>
              <w:pStyle w:val="CellColumn"/>
            </w:pPr>
            <w:r>
              <w:rPr>
                <w:rFonts w:cs="Times New Roman"/>
              </w:rPr>
              <w:t>62</w:t>
            </w:r>
          </w:p>
        </w:tc>
        <w:tc>
          <w:tcPr>
            <w:tcW w:w="918" w:type="dxa"/>
          </w:tcPr>
          <w:p w14:paraId="67516FF0" w14:textId="77777777" w:rsidR="00DC6A1F" w:rsidRDefault="009C15A6">
            <w:pPr>
              <w:pStyle w:val="CellColumn"/>
            </w:pPr>
            <w:r>
              <w:rPr>
                <w:rFonts w:cs="Times New Roman"/>
              </w:rPr>
              <w:t>Godišnje izvješće o radu veterinarske inspekcije</w:t>
            </w:r>
          </w:p>
        </w:tc>
        <w:tc>
          <w:tcPr>
            <w:tcW w:w="918" w:type="dxa"/>
          </w:tcPr>
          <w:p w14:paraId="3A404765" w14:textId="77777777" w:rsidR="00DC6A1F" w:rsidRDefault="009C15A6">
            <w:pPr>
              <w:pStyle w:val="CellColumn"/>
            </w:pPr>
            <w:r>
              <w:rPr>
                <w:rFonts w:cs="Times New Roman"/>
              </w:rPr>
              <w:t>64</w:t>
            </w:r>
          </w:p>
        </w:tc>
        <w:tc>
          <w:tcPr>
            <w:tcW w:w="918" w:type="dxa"/>
          </w:tcPr>
          <w:p w14:paraId="4EFFB52C" w14:textId="77777777" w:rsidR="00DC6A1F" w:rsidRDefault="009C15A6">
            <w:pPr>
              <w:pStyle w:val="CellColumn"/>
            </w:pPr>
            <w:r>
              <w:rPr>
                <w:rFonts w:cs="Times New Roman"/>
              </w:rPr>
              <w:t>65</w:t>
            </w:r>
          </w:p>
        </w:tc>
        <w:tc>
          <w:tcPr>
            <w:tcW w:w="918" w:type="dxa"/>
          </w:tcPr>
          <w:p w14:paraId="42D63DC3" w14:textId="77777777" w:rsidR="00DC6A1F" w:rsidRDefault="009C15A6">
            <w:pPr>
              <w:pStyle w:val="CellColumn"/>
            </w:pPr>
            <w:r>
              <w:rPr>
                <w:rFonts w:cs="Times New Roman"/>
              </w:rPr>
              <w:t>66</w:t>
            </w:r>
          </w:p>
        </w:tc>
      </w:tr>
    </w:tbl>
    <w:p w14:paraId="621D9F94" w14:textId="77777777" w:rsidR="00DC6A1F" w:rsidRDefault="00DC6A1F">
      <w:pPr>
        <w:jc w:val="left"/>
      </w:pPr>
    </w:p>
    <w:p w14:paraId="257FCF54" w14:textId="77777777" w:rsidR="00DC6A1F" w:rsidRDefault="009C15A6">
      <w:pPr>
        <w:pStyle w:val="Naslov4"/>
      </w:pPr>
      <w:r>
        <w:t>K673015 OBNOVA VOZNOG PARKA</w:t>
      </w:r>
    </w:p>
    <w:p w14:paraId="334185D6" w14:textId="77777777" w:rsidR="00DC6A1F" w:rsidRDefault="009C15A6">
      <w:pPr>
        <w:pStyle w:val="Naslov8"/>
        <w:jc w:val="left"/>
      </w:pPr>
      <w:r>
        <w:t>Zakonske i druge pravne osnove</w:t>
      </w:r>
    </w:p>
    <w:p w14:paraId="73B81EAF" w14:textId="77777777" w:rsidR="00DC6A1F" w:rsidRDefault="009C15A6">
      <w:pPr>
        <w:pStyle w:val="Normal5"/>
      </w:pPr>
      <w:r>
        <w:t xml:space="preserve">-Zakon o javnoj nabavi </w:t>
      </w:r>
    </w:p>
    <w:p w14:paraId="797E0566" w14:textId="77777777" w:rsidR="00DC6A1F" w:rsidRDefault="009C15A6">
      <w:pPr>
        <w:pStyle w:val="Normal5"/>
      </w:pPr>
      <w:r>
        <w:t>-Uredba o unutarnjem ustrojstvu Državnog inspektorata</w:t>
      </w:r>
    </w:p>
    <w:tbl>
      <w:tblPr>
        <w:tblStyle w:val="StilTablice"/>
        <w:tblW w:w="10206" w:type="dxa"/>
        <w:jc w:val="center"/>
        <w:tblLook w:val="04A0" w:firstRow="1" w:lastRow="0" w:firstColumn="1" w:lastColumn="0" w:noHBand="0" w:noVBand="1"/>
      </w:tblPr>
      <w:tblGrid>
        <w:gridCol w:w="1473"/>
        <w:gridCol w:w="1550"/>
        <w:gridCol w:w="1542"/>
        <w:gridCol w:w="1557"/>
        <w:gridCol w:w="1557"/>
        <w:gridCol w:w="1557"/>
        <w:gridCol w:w="970"/>
      </w:tblGrid>
      <w:tr w:rsidR="00DC6A1F" w14:paraId="752A76BA" w14:textId="77777777">
        <w:trPr>
          <w:jc w:val="center"/>
        </w:trPr>
        <w:tc>
          <w:tcPr>
            <w:tcW w:w="1530" w:type="dxa"/>
            <w:shd w:val="clear" w:color="auto" w:fill="B5C0D8"/>
          </w:tcPr>
          <w:p w14:paraId="72A2148F" w14:textId="77777777" w:rsidR="00DC6A1F" w:rsidRDefault="009C15A6">
            <w:pPr>
              <w:pStyle w:val="CellHeader"/>
            </w:pPr>
            <w:r>
              <w:rPr>
                <w:rFonts w:cs="Times New Roman"/>
              </w:rPr>
              <w:t>Naziv aktivnosti</w:t>
            </w:r>
          </w:p>
        </w:tc>
        <w:tc>
          <w:tcPr>
            <w:tcW w:w="1632" w:type="dxa"/>
            <w:shd w:val="clear" w:color="auto" w:fill="B5C0D8"/>
          </w:tcPr>
          <w:p w14:paraId="4EFBB18D" w14:textId="77777777" w:rsidR="00DC6A1F" w:rsidRDefault="009C15A6">
            <w:pPr>
              <w:pStyle w:val="CellHeader"/>
            </w:pPr>
            <w:r>
              <w:rPr>
                <w:rFonts w:cs="Times New Roman"/>
              </w:rPr>
              <w:t>Izvršenje 2024. (eur)</w:t>
            </w:r>
          </w:p>
        </w:tc>
        <w:tc>
          <w:tcPr>
            <w:tcW w:w="1632" w:type="dxa"/>
            <w:shd w:val="clear" w:color="auto" w:fill="B5C0D8"/>
          </w:tcPr>
          <w:p w14:paraId="28D754F3" w14:textId="77777777" w:rsidR="00DC6A1F" w:rsidRDefault="009C15A6">
            <w:pPr>
              <w:pStyle w:val="CellHeader"/>
            </w:pPr>
            <w:r>
              <w:rPr>
                <w:rFonts w:cs="Times New Roman"/>
              </w:rPr>
              <w:t>Plan 2025. (eur)</w:t>
            </w:r>
          </w:p>
        </w:tc>
        <w:tc>
          <w:tcPr>
            <w:tcW w:w="1632" w:type="dxa"/>
            <w:shd w:val="clear" w:color="auto" w:fill="B5C0D8"/>
          </w:tcPr>
          <w:p w14:paraId="67E2C93D" w14:textId="77777777" w:rsidR="00DC6A1F" w:rsidRDefault="009C15A6">
            <w:pPr>
              <w:pStyle w:val="CellHeader"/>
            </w:pPr>
            <w:r>
              <w:rPr>
                <w:rFonts w:cs="Times New Roman"/>
              </w:rPr>
              <w:t>Plan 2026. (eur)</w:t>
            </w:r>
          </w:p>
        </w:tc>
        <w:tc>
          <w:tcPr>
            <w:tcW w:w="1632" w:type="dxa"/>
            <w:shd w:val="clear" w:color="auto" w:fill="B5C0D8"/>
          </w:tcPr>
          <w:p w14:paraId="024F16A2" w14:textId="77777777" w:rsidR="00DC6A1F" w:rsidRDefault="009C15A6">
            <w:pPr>
              <w:pStyle w:val="CellHeader"/>
            </w:pPr>
            <w:r>
              <w:rPr>
                <w:rFonts w:cs="Times New Roman"/>
              </w:rPr>
              <w:t>Plan 2027. (eur)</w:t>
            </w:r>
          </w:p>
        </w:tc>
        <w:tc>
          <w:tcPr>
            <w:tcW w:w="1632" w:type="dxa"/>
            <w:shd w:val="clear" w:color="auto" w:fill="B5C0D8"/>
          </w:tcPr>
          <w:p w14:paraId="2F2406CA" w14:textId="77777777" w:rsidR="00DC6A1F" w:rsidRDefault="009C15A6">
            <w:pPr>
              <w:pStyle w:val="CellHeader"/>
            </w:pPr>
            <w:r>
              <w:rPr>
                <w:rFonts w:cs="Times New Roman"/>
              </w:rPr>
              <w:t>Plan 2028. (eur)</w:t>
            </w:r>
          </w:p>
        </w:tc>
        <w:tc>
          <w:tcPr>
            <w:tcW w:w="510" w:type="dxa"/>
            <w:shd w:val="clear" w:color="auto" w:fill="B5C0D8"/>
          </w:tcPr>
          <w:p w14:paraId="1425473C" w14:textId="77777777" w:rsidR="00DC6A1F" w:rsidRDefault="009C15A6">
            <w:pPr>
              <w:pStyle w:val="CellHeader"/>
            </w:pPr>
            <w:r>
              <w:rPr>
                <w:rFonts w:cs="Times New Roman"/>
              </w:rPr>
              <w:t>Indeks 2026/2025</w:t>
            </w:r>
          </w:p>
        </w:tc>
      </w:tr>
      <w:tr w:rsidR="00DC6A1F" w14:paraId="627FD250" w14:textId="77777777">
        <w:trPr>
          <w:jc w:val="center"/>
        </w:trPr>
        <w:tc>
          <w:tcPr>
            <w:tcW w:w="1530" w:type="dxa"/>
          </w:tcPr>
          <w:p w14:paraId="7919A4AB" w14:textId="77777777" w:rsidR="00DC6A1F" w:rsidRDefault="009C15A6">
            <w:pPr>
              <w:pStyle w:val="CellColumn"/>
            </w:pPr>
            <w:r>
              <w:rPr>
                <w:rFonts w:cs="Times New Roman"/>
              </w:rPr>
              <w:t>K673015-OBNOVA VOZNOG PARKA</w:t>
            </w:r>
          </w:p>
        </w:tc>
        <w:tc>
          <w:tcPr>
            <w:tcW w:w="1632" w:type="dxa"/>
          </w:tcPr>
          <w:p w14:paraId="67CF31EC" w14:textId="77777777" w:rsidR="00DC6A1F" w:rsidRDefault="009C15A6">
            <w:pPr>
              <w:pStyle w:val="CellColumn"/>
            </w:pPr>
            <w:r>
              <w:rPr>
                <w:rFonts w:cs="Times New Roman"/>
              </w:rPr>
              <w:t>142.167</w:t>
            </w:r>
          </w:p>
        </w:tc>
        <w:tc>
          <w:tcPr>
            <w:tcW w:w="1632" w:type="dxa"/>
          </w:tcPr>
          <w:p w14:paraId="12BB2A0A" w14:textId="77777777" w:rsidR="00DC6A1F" w:rsidRDefault="009C15A6">
            <w:pPr>
              <w:pStyle w:val="CellColumn"/>
            </w:pPr>
            <w:r>
              <w:rPr>
                <w:rFonts w:cs="Times New Roman"/>
              </w:rPr>
              <w:t>425.000</w:t>
            </w:r>
          </w:p>
        </w:tc>
        <w:tc>
          <w:tcPr>
            <w:tcW w:w="1632" w:type="dxa"/>
          </w:tcPr>
          <w:p w14:paraId="31488C6A" w14:textId="77777777" w:rsidR="00DC6A1F" w:rsidRDefault="009C15A6">
            <w:pPr>
              <w:pStyle w:val="CellColumn"/>
            </w:pPr>
            <w:r>
              <w:rPr>
                <w:rFonts w:cs="Times New Roman"/>
              </w:rPr>
              <w:t>1.025.000</w:t>
            </w:r>
          </w:p>
        </w:tc>
        <w:tc>
          <w:tcPr>
            <w:tcW w:w="1632" w:type="dxa"/>
          </w:tcPr>
          <w:p w14:paraId="473F7CA0" w14:textId="77777777" w:rsidR="00DC6A1F" w:rsidRDefault="009C15A6">
            <w:pPr>
              <w:pStyle w:val="CellColumn"/>
            </w:pPr>
            <w:r>
              <w:rPr>
                <w:rFonts w:cs="Times New Roman"/>
              </w:rPr>
              <w:t>1.025.000</w:t>
            </w:r>
          </w:p>
        </w:tc>
        <w:tc>
          <w:tcPr>
            <w:tcW w:w="1632" w:type="dxa"/>
          </w:tcPr>
          <w:p w14:paraId="699CCFDA" w14:textId="77777777" w:rsidR="00DC6A1F" w:rsidRDefault="009C15A6">
            <w:pPr>
              <w:pStyle w:val="CellColumn"/>
            </w:pPr>
            <w:r>
              <w:rPr>
                <w:rFonts w:cs="Times New Roman"/>
              </w:rPr>
              <w:t>1.025.000</w:t>
            </w:r>
          </w:p>
        </w:tc>
        <w:tc>
          <w:tcPr>
            <w:tcW w:w="510" w:type="dxa"/>
          </w:tcPr>
          <w:p w14:paraId="3FDED435" w14:textId="77777777" w:rsidR="00DC6A1F" w:rsidRDefault="009C15A6">
            <w:pPr>
              <w:pStyle w:val="CellColumn"/>
            </w:pPr>
            <w:r>
              <w:rPr>
                <w:rFonts w:cs="Times New Roman"/>
              </w:rPr>
              <w:t>241,2</w:t>
            </w:r>
          </w:p>
        </w:tc>
      </w:tr>
    </w:tbl>
    <w:p w14:paraId="5CB437D4" w14:textId="77777777" w:rsidR="00DC6A1F" w:rsidRDefault="00DC6A1F">
      <w:pPr>
        <w:jc w:val="left"/>
      </w:pPr>
    </w:p>
    <w:p w14:paraId="08CEA805" w14:textId="77777777" w:rsidR="00DC6A1F" w:rsidRDefault="009C15A6">
      <w:r>
        <w:t xml:space="preserve">Sredstva ove aktivnosti namijenjena su za obnovu voznog parka odnosno nabavu službenih automobila Državnog inspektorata radi nesmetanog, racionalnog i uspješnog obavljanja djelatnosti. Planirana sredstva na ovoj aktivnosti za 2026. godinu iznose 1.025.000 EUR-a, za 2027. godinu iznose 1.025.000 EUR-a, a za 2028. godinu 1.025.000 EUR-a u okviru kojih su planirana sredstva i za leasing.  </w:t>
      </w:r>
    </w:p>
    <w:p w14:paraId="7B107FC9" w14:textId="77777777" w:rsidR="00DC6A1F" w:rsidRDefault="009C15A6">
      <w:r>
        <w:t>Kako bi navedene postupke trebao provoditi Središnji državni ureda za središnju javnu nabavu sredstva moraju biti osigurana za sva naredna proračunska razdoblja.</w:t>
      </w:r>
    </w:p>
    <w:p w14:paraId="43033629" w14:textId="77777777" w:rsidR="00DC6A1F" w:rsidRDefault="009C15A6">
      <w:pPr>
        <w:pStyle w:val="Naslov4"/>
      </w:pPr>
      <w:r>
        <w:t>K673016 INFORMATIZACIJA</w:t>
      </w:r>
    </w:p>
    <w:p w14:paraId="6D418B59" w14:textId="77777777" w:rsidR="00DC6A1F" w:rsidRDefault="009C15A6">
      <w:pPr>
        <w:pStyle w:val="Naslov8"/>
        <w:jc w:val="left"/>
      </w:pPr>
      <w:r>
        <w:t>Zakonske i druge pravne osnove</w:t>
      </w:r>
    </w:p>
    <w:p w14:paraId="068BC7FA" w14:textId="77777777" w:rsidR="00DC6A1F" w:rsidRDefault="009C15A6">
      <w:pPr>
        <w:pStyle w:val="Normal5"/>
      </w:pPr>
      <w:r>
        <w:t xml:space="preserve">-Zakon o javnoj nabavi </w:t>
      </w:r>
    </w:p>
    <w:p w14:paraId="3B837200" w14:textId="77777777" w:rsidR="00DC6A1F" w:rsidRDefault="009C15A6">
      <w:pPr>
        <w:pStyle w:val="Normal5"/>
      </w:pPr>
      <w:r>
        <w:t>-Uredba o unutarnjem ustrojstvu Državnog inspektorata</w:t>
      </w:r>
    </w:p>
    <w:tbl>
      <w:tblPr>
        <w:tblStyle w:val="StilTablice"/>
        <w:tblW w:w="10206" w:type="dxa"/>
        <w:jc w:val="center"/>
        <w:tblLook w:val="04A0" w:firstRow="1" w:lastRow="0" w:firstColumn="1" w:lastColumn="0" w:noHBand="0" w:noVBand="1"/>
      </w:tblPr>
      <w:tblGrid>
        <w:gridCol w:w="1915"/>
        <w:gridCol w:w="1465"/>
        <w:gridCol w:w="1464"/>
        <w:gridCol w:w="1464"/>
        <w:gridCol w:w="1464"/>
        <w:gridCol w:w="1464"/>
        <w:gridCol w:w="970"/>
      </w:tblGrid>
      <w:tr w:rsidR="00DC6A1F" w14:paraId="12242A1F" w14:textId="77777777">
        <w:trPr>
          <w:jc w:val="center"/>
        </w:trPr>
        <w:tc>
          <w:tcPr>
            <w:tcW w:w="1530" w:type="dxa"/>
            <w:shd w:val="clear" w:color="auto" w:fill="B5C0D8"/>
          </w:tcPr>
          <w:p w14:paraId="3CB93BF9" w14:textId="77777777" w:rsidR="00DC6A1F" w:rsidRDefault="009C15A6">
            <w:pPr>
              <w:pStyle w:val="CellHeader"/>
            </w:pPr>
            <w:r>
              <w:rPr>
                <w:rFonts w:cs="Times New Roman"/>
              </w:rPr>
              <w:t>Naziv aktivnosti</w:t>
            </w:r>
          </w:p>
        </w:tc>
        <w:tc>
          <w:tcPr>
            <w:tcW w:w="1632" w:type="dxa"/>
            <w:shd w:val="clear" w:color="auto" w:fill="B5C0D8"/>
          </w:tcPr>
          <w:p w14:paraId="293E8E5C" w14:textId="77777777" w:rsidR="00DC6A1F" w:rsidRDefault="009C15A6">
            <w:pPr>
              <w:pStyle w:val="CellHeader"/>
            </w:pPr>
            <w:r>
              <w:rPr>
                <w:rFonts w:cs="Times New Roman"/>
              </w:rPr>
              <w:t>Izvršenje 2024. (eur)</w:t>
            </w:r>
          </w:p>
        </w:tc>
        <w:tc>
          <w:tcPr>
            <w:tcW w:w="1632" w:type="dxa"/>
            <w:shd w:val="clear" w:color="auto" w:fill="B5C0D8"/>
          </w:tcPr>
          <w:p w14:paraId="5FE81D29" w14:textId="77777777" w:rsidR="00DC6A1F" w:rsidRDefault="009C15A6">
            <w:pPr>
              <w:pStyle w:val="CellHeader"/>
            </w:pPr>
            <w:r>
              <w:rPr>
                <w:rFonts w:cs="Times New Roman"/>
              </w:rPr>
              <w:t>Plan 2025. (eur)</w:t>
            </w:r>
          </w:p>
        </w:tc>
        <w:tc>
          <w:tcPr>
            <w:tcW w:w="1632" w:type="dxa"/>
            <w:shd w:val="clear" w:color="auto" w:fill="B5C0D8"/>
          </w:tcPr>
          <w:p w14:paraId="66B3A182" w14:textId="77777777" w:rsidR="00DC6A1F" w:rsidRDefault="009C15A6">
            <w:pPr>
              <w:pStyle w:val="CellHeader"/>
            </w:pPr>
            <w:r>
              <w:rPr>
                <w:rFonts w:cs="Times New Roman"/>
              </w:rPr>
              <w:t>Plan 2026. (eur)</w:t>
            </w:r>
          </w:p>
        </w:tc>
        <w:tc>
          <w:tcPr>
            <w:tcW w:w="1632" w:type="dxa"/>
            <w:shd w:val="clear" w:color="auto" w:fill="B5C0D8"/>
          </w:tcPr>
          <w:p w14:paraId="1447DC7C" w14:textId="77777777" w:rsidR="00DC6A1F" w:rsidRDefault="009C15A6">
            <w:pPr>
              <w:pStyle w:val="CellHeader"/>
            </w:pPr>
            <w:r>
              <w:rPr>
                <w:rFonts w:cs="Times New Roman"/>
              </w:rPr>
              <w:t>Plan 2027. (eur)</w:t>
            </w:r>
          </w:p>
        </w:tc>
        <w:tc>
          <w:tcPr>
            <w:tcW w:w="1632" w:type="dxa"/>
            <w:shd w:val="clear" w:color="auto" w:fill="B5C0D8"/>
          </w:tcPr>
          <w:p w14:paraId="23E235E0" w14:textId="77777777" w:rsidR="00DC6A1F" w:rsidRDefault="009C15A6">
            <w:pPr>
              <w:pStyle w:val="CellHeader"/>
            </w:pPr>
            <w:r>
              <w:rPr>
                <w:rFonts w:cs="Times New Roman"/>
              </w:rPr>
              <w:t>Plan 2028. (eur)</w:t>
            </w:r>
          </w:p>
        </w:tc>
        <w:tc>
          <w:tcPr>
            <w:tcW w:w="510" w:type="dxa"/>
            <w:shd w:val="clear" w:color="auto" w:fill="B5C0D8"/>
          </w:tcPr>
          <w:p w14:paraId="38398806" w14:textId="77777777" w:rsidR="00DC6A1F" w:rsidRDefault="009C15A6">
            <w:pPr>
              <w:pStyle w:val="CellHeader"/>
            </w:pPr>
            <w:r>
              <w:rPr>
                <w:rFonts w:cs="Times New Roman"/>
              </w:rPr>
              <w:t>Indeks 2026/2025</w:t>
            </w:r>
          </w:p>
        </w:tc>
      </w:tr>
      <w:tr w:rsidR="00DC6A1F" w14:paraId="077249E9" w14:textId="77777777">
        <w:trPr>
          <w:jc w:val="center"/>
        </w:trPr>
        <w:tc>
          <w:tcPr>
            <w:tcW w:w="1530" w:type="dxa"/>
          </w:tcPr>
          <w:p w14:paraId="107095DF" w14:textId="77777777" w:rsidR="00DC6A1F" w:rsidRDefault="009C15A6">
            <w:pPr>
              <w:pStyle w:val="CellColumn"/>
            </w:pPr>
            <w:r>
              <w:rPr>
                <w:rFonts w:cs="Times New Roman"/>
              </w:rPr>
              <w:t>K673016-INFORMATIZACIJA</w:t>
            </w:r>
          </w:p>
        </w:tc>
        <w:tc>
          <w:tcPr>
            <w:tcW w:w="1632" w:type="dxa"/>
          </w:tcPr>
          <w:p w14:paraId="4A323EBD" w14:textId="77777777" w:rsidR="00DC6A1F" w:rsidRDefault="009C15A6">
            <w:pPr>
              <w:pStyle w:val="CellColumn"/>
            </w:pPr>
            <w:r>
              <w:rPr>
                <w:rFonts w:cs="Times New Roman"/>
              </w:rPr>
              <w:t>2.247.458</w:t>
            </w:r>
          </w:p>
        </w:tc>
        <w:tc>
          <w:tcPr>
            <w:tcW w:w="1632" w:type="dxa"/>
          </w:tcPr>
          <w:p w14:paraId="049DB161" w14:textId="77777777" w:rsidR="00DC6A1F" w:rsidRDefault="009C15A6">
            <w:pPr>
              <w:pStyle w:val="CellColumn"/>
            </w:pPr>
            <w:r>
              <w:rPr>
                <w:rFonts w:cs="Times New Roman"/>
              </w:rPr>
              <w:t>3.029.000</w:t>
            </w:r>
          </w:p>
        </w:tc>
        <w:tc>
          <w:tcPr>
            <w:tcW w:w="1632" w:type="dxa"/>
          </w:tcPr>
          <w:p w14:paraId="30AA8C1D" w14:textId="77777777" w:rsidR="00DC6A1F" w:rsidRDefault="009C15A6">
            <w:pPr>
              <w:pStyle w:val="CellColumn"/>
            </w:pPr>
            <w:r>
              <w:rPr>
                <w:rFonts w:cs="Times New Roman"/>
              </w:rPr>
              <w:t>4.166.000</w:t>
            </w:r>
          </w:p>
        </w:tc>
        <w:tc>
          <w:tcPr>
            <w:tcW w:w="1632" w:type="dxa"/>
          </w:tcPr>
          <w:p w14:paraId="19CDFF04" w14:textId="77777777" w:rsidR="00DC6A1F" w:rsidRDefault="009C15A6">
            <w:pPr>
              <w:pStyle w:val="CellColumn"/>
            </w:pPr>
            <w:r>
              <w:rPr>
                <w:rFonts w:cs="Times New Roman"/>
              </w:rPr>
              <w:t>4.647.500</w:t>
            </w:r>
          </w:p>
        </w:tc>
        <w:tc>
          <w:tcPr>
            <w:tcW w:w="1632" w:type="dxa"/>
          </w:tcPr>
          <w:p w14:paraId="0EBD0510" w14:textId="77777777" w:rsidR="00DC6A1F" w:rsidRDefault="009C15A6">
            <w:pPr>
              <w:pStyle w:val="CellColumn"/>
            </w:pPr>
            <w:r>
              <w:rPr>
                <w:rFonts w:cs="Times New Roman"/>
              </w:rPr>
              <w:t>4.948.400</w:t>
            </w:r>
          </w:p>
        </w:tc>
        <w:tc>
          <w:tcPr>
            <w:tcW w:w="510" w:type="dxa"/>
          </w:tcPr>
          <w:p w14:paraId="0477EAAB" w14:textId="77777777" w:rsidR="00DC6A1F" w:rsidRDefault="009C15A6">
            <w:pPr>
              <w:pStyle w:val="CellColumn"/>
            </w:pPr>
            <w:r>
              <w:rPr>
                <w:rFonts w:cs="Times New Roman"/>
              </w:rPr>
              <w:t>137,5</w:t>
            </w:r>
          </w:p>
        </w:tc>
      </w:tr>
    </w:tbl>
    <w:p w14:paraId="468A346E" w14:textId="77777777" w:rsidR="00DC6A1F" w:rsidRDefault="00DC6A1F">
      <w:pPr>
        <w:jc w:val="left"/>
      </w:pPr>
    </w:p>
    <w:p w14:paraId="3F0A300F" w14:textId="77777777" w:rsidR="00DC6A1F" w:rsidRDefault="009C15A6">
      <w:r>
        <w:t>Sredstva ove aktivnosti planirana su za 2026. godinu u iznosu od 4.166.000 EUR-a, za 2027. godinu 4.647.500 EUR-a i za 2028. godinu u iznosu od 4.948.400 EUR-a. U periodu 2026.- 2028. godini nastavit će se projekti uspostave dijelova i podsustava informacijskog sustava Državnog inspektorata, održavanje i nadogradnja softverskih sustava Državnog inspektorat sukladno zakonodavnom okviru Republike Hrvatske i Europske unije, ulaganje u održavanje i nadogradnju postojeće softverske infrastrukture, računalne kori</w:t>
      </w:r>
      <w:r>
        <w:t>sničke, te serversko-mrežne infrastrukture. Podmiriti će se troškovi za licenčna prava, nabavu licenciranog softvera za računalno-serversku i mrežnu infrastrukturu. Nastavlja se proces kontinuirane zamjena dotrajale korisničke informatičke opreme. Poslovni procesi inspekcijskih sektora će se digitalizirati u jedinstven  aplikativni sustav što će omogućiti pravovremeno donošenje odluka, realizaciju strateških i operativnih akata Državnog inspektorata, te izvršenje obveze iz članaka 79. Zakona o državnom insp</w:t>
      </w:r>
      <w:r>
        <w:t>ektorat. Nastavit će aktivno izvršavati aktivnosti na polju kibernetičke sigurnosti, a koje uključuju održavanje sigurnosnog operativnog centra, provođenje testiranje otpornosti djelatnika na phishing mailove, te sigurnosno testiranje informatičkog sustava Državnog inspektorata.</w:t>
      </w:r>
    </w:p>
    <w:p w14:paraId="04E28FF6" w14:textId="77777777" w:rsidR="00DC6A1F" w:rsidRDefault="009C15A6">
      <w:pPr>
        <w:pStyle w:val="Naslov4"/>
      </w:pPr>
      <w:r>
        <w:t>K673017 OPREMANJE</w:t>
      </w:r>
    </w:p>
    <w:p w14:paraId="02B9820C" w14:textId="77777777" w:rsidR="00DC6A1F" w:rsidRDefault="009C15A6">
      <w:pPr>
        <w:pStyle w:val="Naslov8"/>
        <w:jc w:val="left"/>
      </w:pPr>
      <w:r>
        <w:t>Zakonske i druge pravne osnove</w:t>
      </w:r>
    </w:p>
    <w:p w14:paraId="21BECA3F" w14:textId="77777777" w:rsidR="00DC6A1F" w:rsidRDefault="009C15A6">
      <w:pPr>
        <w:pStyle w:val="Normal5"/>
      </w:pPr>
      <w:r>
        <w:t xml:space="preserve">-Zakon o javnoj nabavi </w:t>
      </w:r>
    </w:p>
    <w:p w14:paraId="2F619C18" w14:textId="77777777" w:rsidR="00DC6A1F" w:rsidRDefault="009C15A6">
      <w:pPr>
        <w:pStyle w:val="Normal5"/>
      </w:pPr>
      <w:r>
        <w:t>-Uredba o unutarnjem ustrojstvu Državnog inspektorata</w:t>
      </w:r>
    </w:p>
    <w:tbl>
      <w:tblPr>
        <w:tblStyle w:val="StilTablice"/>
        <w:tblW w:w="10206" w:type="dxa"/>
        <w:jc w:val="center"/>
        <w:tblLook w:val="04A0" w:firstRow="1" w:lastRow="0" w:firstColumn="1" w:lastColumn="0" w:noHBand="0" w:noVBand="1"/>
      </w:tblPr>
      <w:tblGrid>
        <w:gridCol w:w="1509"/>
        <w:gridCol w:w="1559"/>
        <w:gridCol w:w="1542"/>
        <w:gridCol w:w="1542"/>
        <w:gridCol w:w="1542"/>
        <w:gridCol w:w="1542"/>
        <w:gridCol w:w="970"/>
      </w:tblGrid>
      <w:tr w:rsidR="00DC6A1F" w14:paraId="1A1C6DAE" w14:textId="77777777">
        <w:trPr>
          <w:jc w:val="center"/>
        </w:trPr>
        <w:tc>
          <w:tcPr>
            <w:tcW w:w="1530" w:type="dxa"/>
            <w:shd w:val="clear" w:color="auto" w:fill="B5C0D8"/>
          </w:tcPr>
          <w:p w14:paraId="4EAE20F4" w14:textId="77777777" w:rsidR="00DC6A1F" w:rsidRDefault="009C15A6">
            <w:pPr>
              <w:pStyle w:val="CellHeader"/>
            </w:pPr>
            <w:r>
              <w:rPr>
                <w:rFonts w:cs="Times New Roman"/>
              </w:rPr>
              <w:t>Naziv aktivnosti</w:t>
            </w:r>
          </w:p>
        </w:tc>
        <w:tc>
          <w:tcPr>
            <w:tcW w:w="1632" w:type="dxa"/>
            <w:shd w:val="clear" w:color="auto" w:fill="B5C0D8"/>
          </w:tcPr>
          <w:p w14:paraId="0933217C" w14:textId="77777777" w:rsidR="00DC6A1F" w:rsidRDefault="009C15A6">
            <w:pPr>
              <w:pStyle w:val="CellHeader"/>
            </w:pPr>
            <w:r>
              <w:rPr>
                <w:rFonts w:cs="Times New Roman"/>
              </w:rPr>
              <w:t>Izvršenje 2024. (eur)</w:t>
            </w:r>
          </w:p>
        </w:tc>
        <w:tc>
          <w:tcPr>
            <w:tcW w:w="1632" w:type="dxa"/>
            <w:shd w:val="clear" w:color="auto" w:fill="B5C0D8"/>
          </w:tcPr>
          <w:p w14:paraId="09985AA8" w14:textId="77777777" w:rsidR="00DC6A1F" w:rsidRDefault="009C15A6">
            <w:pPr>
              <w:pStyle w:val="CellHeader"/>
            </w:pPr>
            <w:r>
              <w:rPr>
                <w:rFonts w:cs="Times New Roman"/>
              </w:rPr>
              <w:t>Plan 2025. (eur)</w:t>
            </w:r>
          </w:p>
        </w:tc>
        <w:tc>
          <w:tcPr>
            <w:tcW w:w="1632" w:type="dxa"/>
            <w:shd w:val="clear" w:color="auto" w:fill="B5C0D8"/>
          </w:tcPr>
          <w:p w14:paraId="34DA92E2" w14:textId="77777777" w:rsidR="00DC6A1F" w:rsidRDefault="009C15A6">
            <w:pPr>
              <w:pStyle w:val="CellHeader"/>
            </w:pPr>
            <w:r>
              <w:rPr>
                <w:rFonts w:cs="Times New Roman"/>
              </w:rPr>
              <w:t>Plan 2026. (eur)</w:t>
            </w:r>
          </w:p>
        </w:tc>
        <w:tc>
          <w:tcPr>
            <w:tcW w:w="1632" w:type="dxa"/>
            <w:shd w:val="clear" w:color="auto" w:fill="B5C0D8"/>
          </w:tcPr>
          <w:p w14:paraId="4041B641" w14:textId="77777777" w:rsidR="00DC6A1F" w:rsidRDefault="009C15A6">
            <w:pPr>
              <w:pStyle w:val="CellHeader"/>
            </w:pPr>
            <w:r>
              <w:rPr>
                <w:rFonts w:cs="Times New Roman"/>
              </w:rPr>
              <w:t>Plan 2027. (eur)</w:t>
            </w:r>
          </w:p>
        </w:tc>
        <w:tc>
          <w:tcPr>
            <w:tcW w:w="1632" w:type="dxa"/>
            <w:shd w:val="clear" w:color="auto" w:fill="B5C0D8"/>
          </w:tcPr>
          <w:p w14:paraId="33F9A066" w14:textId="77777777" w:rsidR="00DC6A1F" w:rsidRDefault="009C15A6">
            <w:pPr>
              <w:pStyle w:val="CellHeader"/>
            </w:pPr>
            <w:r>
              <w:rPr>
                <w:rFonts w:cs="Times New Roman"/>
              </w:rPr>
              <w:t>Plan 2028. (eur)</w:t>
            </w:r>
          </w:p>
        </w:tc>
        <w:tc>
          <w:tcPr>
            <w:tcW w:w="510" w:type="dxa"/>
            <w:shd w:val="clear" w:color="auto" w:fill="B5C0D8"/>
          </w:tcPr>
          <w:p w14:paraId="0A8B3928" w14:textId="77777777" w:rsidR="00DC6A1F" w:rsidRDefault="009C15A6">
            <w:pPr>
              <w:pStyle w:val="CellHeader"/>
            </w:pPr>
            <w:r>
              <w:rPr>
                <w:rFonts w:cs="Times New Roman"/>
              </w:rPr>
              <w:t>Indeks 2026/2025</w:t>
            </w:r>
          </w:p>
        </w:tc>
      </w:tr>
      <w:tr w:rsidR="00DC6A1F" w14:paraId="56CF20B0" w14:textId="77777777">
        <w:trPr>
          <w:jc w:val="center"/>
        </w:trPr>
        <w:tc>
          <w:tcPr>
            <w:tcW w:w="1530" w:type="dxa"/>
          </w:tcPr>
          <w:p w14:paraId="4FA85DE3" w14:textId="77777777" w:rsidR="00DC6A1F" w:rsidRDefault="009C15A6">
            <w:pPr>
              <w:pStyle w:val="CellColumn"/>
            </w:pPr>
            <w:r>
              <w:rPr>
                <w:rFonts w:cs="Times New Roman"/>
              </w:rPr>
              <w:t>K673017-OPREMANJE</w:t>
            </w:r>
          </w:p>
        </w:tc>
        <w:tc>
          <w:tcPr>
            <w:tcW w:w="1632" w:type="dxa"/>
          </w:tcPr>
          <w:p w14:paraId="0926B7B8" w14:textId="77777777" w:rsidR="00DC6A1F" w:rsidRDefault="009C15A6">
            <w:pPr>
              <w:pStyle w:val="CellColumn"/>
            </w:pPr>
            <w:r>
              <w:rPr>
                <w:rFonts w:cs="Times New Roman"/>
              </w:rPr>
              <w:t>62.978</w:t>
            </w:r>
          </w:p>
        </w:tc>
        <w:tc>
          <w:tcPr>
            <w:tcW w:w="1632" w:type="dxa"/>
          </w:tcPr>
          <w:p w14:paraId="2D62B0B0" w14:textId="77777777" w:rsidR="00DC6A1F" w:rsidRDefault="009C15A6">
            <w:pPr>
              <w:pStyle w:val="CellColumn"/>
            </w:pPr>
            <w:r>
              <w:rPr>
                <w:rFonts w:cs="Times New Roman"/>
              </w:rPr>
              <w:t>63.272</w:t>
            </w:r>
          </w:p>
        </w:tc>
        <w:tc>
          <w:tcPr>
            <w:tcW w:w="1632" w:type="dxa"/>
          </w:tcPr>
          <w:p w14:paraId="3E21152C" w14:textId="77777777" w:rsidR="00DC6A1F" w:rsidRDefault="009C15A6">
            <w:pPr>
              <w:pStyle w:val="CellColumn"/>
            </w:pPr>
            <w:r>
              <w:rPr>
                <w:rFonts w:cs="Times New Roman"/>
              </w:rPr>
              <w:t>63.272</w:t>
            </w:r>
          </w:p>
        </w:tc>
        <w:tc>
          <w:tcPr>
            <w:tcW w:w="1632" w:type="dxa"/>
          </w:tcPr>
          <w:p w14:paraId="16360C88" w14:textId="77777777" w:rsidR="00DC6A1F" w:rsidRDefault="009C15A6">
            <w:pPr>
              <w:pStyle w:val="CellColumn"/>
            </w:pPr>
            <w:r>
              <w:rPr>
                <w:rFonts w:cs="Times New Roman"/>
              </w:rPr>
              <w:t>63.272</w:t>
            </w:r>
          </w:p>
        </w:tc>
        <w:tc>
          <w:tcPr>
            <w:tcW w:w="1632" w:type="dxa"/>
          </w:tcPr>
          <w:p w14:paraId="328B8530" w14:textId="77777777" w:rsidR="00DC6A1F" w:rsidRDefault="009C15A6">
            <w:pPr>
              <w:pStyle w:val="CellColumn"/>
            </w:pPr>
            <w:r>
              <w:rPr>
                <w:rFonts w:cs="Times New Roman"/>
              </w:rPr>
              <w:t>63.272</w:t>
            </w:r>
          </w:p>
        </w:tc>
        <w:tc>
          <w:tcPr>
            <w:tcW w:w="510" w:type="dxa"/>
          </w:tcPr>
          <w:p w14:paraId="2D815CBA" w14:textId="77777777" w:rsidR="00DC6A1F" w:rsidRDefault="009C15A6">
            <w:pPr>
              <w:pStyle w:val="CellColumn"/>
            </w:pPr>
            <w:r>
              <w:rPr>
                <w:rFonts w:cs="Times New Roman"/>
              </w:rPr>
              <w:t>100,0</w:t>
            </w:r>
          </w:p>
        </w:tc>
      </w:tr>
    </w:tbl>
    <w:p w14:paraId="6325E6F6" w14:textId="77777777" w:rsidR="00DC6A1F" w:rsidRDefault="00DC6A1F">
      <w:pPr>
        <w:jc w:val="left"/>
      </w:pPr>
    </w:p>
    <w:p w14:paraId="401A6234" w14:textId="77777777" w:rsidR="00DC6A1F" w:rsidRDefault="009C15A6">
      <w:r>
        <w:t xml:space="preserve">Sredstva ove aktivnosti namijenjena su za nabavu uredske opreme i namještaja, opreme za održavanje i zaštitu neophodno potrebne radi što učinkovitijeg rada Inspektorata i obnavljanja dotrajale opreme za održavanje i zaštitu u narednom proračunskom razdoblju. </w:t>
      </w:r>
    </w:p>
    <w:p w14:paraId="4F3641E0" w14:textId="77777777" w:rsidR="00DC6A1F" w:rsidRDefault="009C15A6">
      <w:r>
        <w:t xml:space="preserve"> </w:t>
      </w:r>
    </w:p>
    <w:p w14:paraId="6F8A182C" w14:textId="77777777" w:rsidR="00DC6A1F" w:rsidRDefault="009C15A6">
      <w:r>
        <w:t>Sredstva ove aktivnosti planirana su i za 2026. godinu u iznosu od 63.272 EUR-a, a za 2027. godinu u iznosu od 63.272 EUR-a i 2028. godinu u iznosu od 63.272 EUR-a.</w:t>
      </w:r>
    </w:p>
    <w:sectPr w:rsidR="00DC6A1F"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1DD5" w14:textId="77777777" w:rsidR="007A7E45" w:rsidRDefault="007A7E45" w:rsidP="00F352E6">
      <w:r>
        <w:separator/>
      </w:r>
    </w:p>
  </w:endnote>
  <w:endnote w:type="continuationSeparator" w:id="0">
    <w:p w14:paraId="40DA0433" w14:textId="77777777"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9F59" w14:textId="77777777" w:rsidR="009C15A6" w:rsidRPr="00D769ED" w:rsidRDefault="009C15A6"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B5D8" w14:textId="77777777" w:rsidR="007A7E45" w:rsidRDefault="007A7E45" w:rsidP="00F352E6">
      <w:r>
        <w:separator/>
      </w:r>
    </w:p>
  </w:footnote>
  <w:footnote w:type="continuationSeparator" w:id="0">
    <w:p w14:paraId="75CCC015" w14:textId="77777777"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ECC6" w14:textId="77777777" w:rsidR="009C15A6" w:rsidRDefault="009C15A6"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396731"/>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C15A6"/>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C6A1F"/>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7D691E"/>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6938</Words>
  <Characters>39552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Josipa Veger</cp:lastModifiedBy>
  <cp:revision>2</cp:revision>
  <dcterms:created xsi:type="dcterms:W3CDTF">2026-01-30T13:44:00Z</dcterms:created>
  <dcterms:modified xsi:type="dcterms:W3CDTF">2026-01-30T13:44:00Z</dcterms:modified>
</cp:coreProperties>
</file>